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7022E" w14:textId="77777777" w:rsidR="00FE7CE0" w:rsidRPr="008F2405" w:rsidRDefault="00FE7CE0" w:rsidP="00FE7CE0">
      <w:pPr>
        <w:ind w:right="-2675"/>
        <w:jc w:val="left"/>
        <w:rPr>
          <w:b/>
          <w:bCs/>
          <w:color w:val="FFFFFF" w:themeColor="background1"/>
          <w:sz w:val="28"/>
          <w:szCs w:val="28"/>
          <w:lang w:eastAsia="fr-FR"/>
        </w:rPr>
      </w:pPr>
      <w:r w:rsidRPr="008F2405">
        <w:rPr>
          <w:b/>
          <w:bCs/>
          <w:noProof/>
          <w:color w:val="FFFFFF" w:themeColor="background1"/>
          <w:sz w:val="28"/>
          <w:szCs w:val="28"/>
          <w:lang w:eastAsia="fr-FR"/>
          <w14:ligatures w14:val="standardContextual"/>
        </w:rPr>
        <mc:AlternateContent>
          <mc:Choice Requires="wps">
            <w:drawing>
              <wp:anchor distT="0" distB="0" distL="114300" distR="114300" simplePos="0" relativeHeight="251659264" behindDoc="1" locked="0" layoutInCell="1" allowOverlap="1" wp14:anchorId="2E624847" wp14:editId="0B7B92E7">
                <wp:simplePos x="0" y="0"/>
                <wp:positionH relativeFrom="column">
                  <wp:posOffset>-898634</wp:posOffset>
                </wp:positionH>
                <wp:positionV relativeFrom="paragraph">
                  <wp:posOffset>-898634</wp:posOffset>
                </wp:positionV>
                <wp:extent cx="16522262" cy="10641724"/>
                <wp:effectExtent l="0" t="0" r="13335" b="26670"/>
                <wp:wrapNone/>
                <wp:docPr id="421927313" name="Rectangle 4"/>
                <wp:cNvGraphicFramePr/>
                <a:graphic xmlns:a="http://schemas.openxmlformats.org/drawingml/2006/main">
                  <a:graphicData uri="http://schemas.microsoft.com/office/word/2010/wordprocessingShape">
                    <wps:wsp>
                      <wps:cNvSpPr/>
                      <wps:spPr>
                        <a:xfrm>
                          <a:off x="0" y="0"/>
                          <a:ext cx="16522262" cy="10641724"/>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912706" id="Rectangle 4" o:spid="_x0000_s1026" style="position:absolute;margin-left:-70.75pt;margin-top:-70.75pt;width:1300.95pt;height:837.9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" fillcolor="#4472c4 [3204]" strokecolor="#09101d [484]" strokeweight="1pt"/>
            </w:pict>
          </mc:Fallback>
        </mc:AlternateContent>
      </w:r>
      <w:r w:rsidRPr="008F2405">
        <w:rPr>
          <w:b/>
          <w:bCs/>
          <w:color w:val="FFFFFF" w:themeColor="background1"/>
          <w:sz w:val="28"/>
          <w:szCs w:val="28"/>
          <w:lang w:eastAsia="fr-FR"/>
        </w:rPr>
        <w:t>MODULE 4 – Audit fiscal et gestion de la contribution fiscale familiale</w:t>
      </w:r>
    </w:p>
    <w:p w14:paraId="469B6BD0" w14:textId="77777777" w:rsidR="00FE7CE0" w:rsidRPr="008F2405" w:rsidRDefault="00FE7CE0" w:rsidP="00FE7CE0">
      <w:pPr>
        <w:jc w:val="left"/>
        <w:rPr>
          <w:b/>
          <w:bCs/>
          <w:color w:val="FFFFFF" w:themeColor="background1"/>
          <w:sz w:val="28"/>
          <w:szCs w:val="28"/>
          <w:lang w:eastAsia="fr-FR"/>
        </w:rPr>
      </w:pPr>
      <w:r w:rsidRPr="008F2405">
        <w:rPr>
          <w:b/>
          <w:bCs/>
          <w:color w:val="FFFFFF" w:themeColor="background1"/>
          <w:sz w:val="28"/>
          <w:szCs w:val="28"/>
          <w:lang w:eastAsia="fr-FR"/>
        </w:rPr>
        <w:t>Leçon 3 : Les régimes des plus-values mobilières et immobilières</w:t>
      </w:r>
    </w:p>
    <w:p w14:paraId="5383E0E1" w14:textId="77777777" w:rsidR="00FE7CE0" w:rsidRPr="008F2405" w:rsidRDefault="00FE7CE0" w:rsidP="00FE7CE0">
      <w:pPr>
        <w:pStyle w:val="CGPC-elearning"/>
      </w:pPr>
    </w:p>
    <w:p w14:paraId="0556FB2C" w14:textId="77777777" w:rsidR="00FE7CE0" w:rsidRPr="008F2405" w:rsidRDefault="00FE7CE0" w:rsidP="00FE7CE0">
      <w:pPr>
        <w:pStyle w:val="CGPC-elearning"/>
      </w:pPr>
    </w:p>
    <w:p w14:paraId="74EE7BE1" w14:textId="77777777" w:rsidR="00FE7CE0" w:rsidRPr="008F2405" w:rsidRDefault="00FE7CE0" w:rsidP="00FE7CE0">
      <w:pPr>
        <w:pStyle w:val="CGPC-elearning"/>
      </w:pPr>
    </w:p>
    <w:p w14:paraId="7C137014" w14:textId="77777777" w:rsidR="00FE7CE0" w:rsidRPr="008F2405" w:rsidRDefault="00FE7CE0" w:rsidP="00FE7CE0">
      <w:pPr>
        <w:pStyle w:val="CGPC-elearning"/>
      </w:pPr>
    </w:p>
    <w:p w14:paraId="10BFAD86" w14:textId="77777777" w:rsidR="00FE7CE0" w:rsidRPr="008F2405" w:rsidRDefault="00FE7CE0" w:rsidP="00FE7CE0">
      <w:pPr>
        <w:pStyle w:val="CGPC-elearning"/>
        <w:tabs>
          <w:tab w:val="left" w:pos="2855"/>
        </w:tabs>
      </w:pPr>
      <w:r>
        <w:tab/>
      </w:r>
    </w:p>
    <w:p w14:paraId="2470A3B4" w14:textId="77777777" w:rsidR="00FE7CE0" w:rsidRDefault="00FE7CE0" w:rsidP="00FE7CE0">
      <w:pPr>
        <w:jc w:val="left"/>
        <w:rPr>
          <w:b/>
          <w:bCs/>
          <w:color w:val="FFFFFF" w:themeColor="background1"/>
          <w:sz w:val="56"/>
          <w:szCs w:val="56"/>
        </w:rPr>
      </w:pPr>
    </w:p>
    <w:p w14:paraId="104508CF" w14:textId="77777777" w:rsidR="00FE7CE0" w:rsidRDefault="00FE7CE0" w:rsidP="00FE7CE0">
      <w:pPr>
        <w:jc w:val="left"/>
        <w:rPr>
          <w:b/>
          <w:bCs/>
          <w:color w:val="FFFFFF" w:themeColor="background1"/>
          <w:sz w:val="56"/>
          <w:szCs w:val="56"/>
        </w:rPr>
      </w:pPr>
    </w:p>
    <w:p w14:paraId="436FAD90" w14:textId="369C28FE" w:rsidR="00FE7CE0" w:rsidRPr="00EE7996" w:rsidRDefault="00FE7CE0" w:rsidP="00FE7CE0">
      <w:pPr>
        <w:jc w:val="left"/>
        <w:rPr>
          <w:b/>
          <w:bCs/>
          <w:sz w:val="56"/>
          <w:szCs w:val="56"/>
        </w:rPr>
      </w:pPr>
      <w:r w:rsidRPr="00EE7996">
        <w:rPr>
          <w:b/>
          <w:bCs/>
          <w:color w:val="FFFFFF" w:themeColor="background1"/>
          <w:sz w:val="56"/>
          <w:szCs w:val="56"/>
        </w:rPr>
        <w:t xml:space="preserve">Chapitre </w:t>
      </w:r>
      <w:r w:rsidR="00EC26CF">
        <w:rPr>
          <w:b/>
          <w:bCs/>
          <w:color w:val="FFFFFF" w:themeColor="background1"/>
          <w:sz w:val="56"/>
          <w:szCs w:val="56"/>
        </w:rPr>
        <w:t>2</w:t>
      </w:r>
      <w:r w:rsidRPr="00EE7996">
        <w:rPr>
          <w:b/>
          <w:bCs/>
          <w:color w:val="FFFFFF" w:themeColor="background1"/>
          <w:sz w:val="56"/>
          <w:szCs w:val="56"/>
        </w:rPr>
        <w:t xml:space="preserve"> :  Les régimes des plus-values </w:t>
      </w:r>
      <w:r>
        <w:rPr>
          <w:b/>
          <w:bCs/>
          <w:color w:val="FFFFFF" w:themeColor="background1"/>
          <w:sz w:val="56"/>
          <w:szCs w:val="56"/>
        </w:rPr>
        <w:t>im</w:t>
      </w:r>
      <w:r w:rsidRPr="00EE7996">
        <w:rPr>
          <w:b/>
          <w:bCs/>
          <w:color w:val="FFFFFF" w:themeColor="background1"/>
          <w:sz w:val="56"/>
          <w:szCs w:val="56"/>
        </w:rPr>
        <w:t>mobilières</w:t>
      </w:r>
      <w:r w:rsidRPr="00EE7996">
        <w:rPr>
          <w:b/>
          <w:bCs/>
          <w:sz w:val="56"/>
          <w:szCs w:val="56"/>
        </w:rPr>
        <w:t xml:space="preserve"> </w:t>
      </w:r>
      <w:hyperlink r:id="rId10" w:history="1">
        <w:r w:rsidRPr="00EE7996">
          <w:rPr>
            <w:b/>
            <w:bCs/>
            <w:sz w:val="56"/>
            <w:szCs w:val="56"/>
          </w:rPr>
          <w:br/>
        </w:r>
      </w:hyperlink>
    </w:p>
    <w:p w14:paraId="1F17F087" w14:textId="77777777" w:rsidR="00FE7CE0" w:rsidRDefault="00FE7CE0">
      <w:pPr>
        <w:jc w:val="left"/>
        <w:rPr>
          <w:b/>
          <w:bCs/>
          <w:lang w:eastAsia="fr-FR"/>
        </w:rPr>
        <w:sectPr w:rsidR="00FE7CE0" w:rsidSect="00FE7CE0">
          <w:headerReference w:type="even" r:id="rId11"/>
          <w:headerReference w:type="default" r:id="rId12"/>
          <w:footerReference w:type="even" r:id="rId13"/>
          <w:footerReference w:type="default" r:id="rId14"/>
          <w:headerReference w:type="first" r:id="rId15"/>
          <w:footerReference w:type="first" r:id="rId16"/>
          <w:pgSz w:w="23811" w:h="16838" w:orient="landscape" w:code="8"/>
          <w:pgMar w:top="1440" w:right="1440" w:bottom="1440" w:left="1440" w:header="720" w:footer="720" w:gutter="0"/>
          <w:pgNumType w:start="0"/>
          <w:cols w:space="720"/>
          <w:titlePg/>
          <w:docGrid w:linePitch="360"/>
        </w:sectPr>
      </w:pPr>
    </w:p>
    <w:p w14:paraId="5E338139" w14:textId="77777777" w:rsidR="00867D8F" w:rsidRDefault="00867D8F">
      <w:pPr>
        <w:jc w:val="left"/>
        <w:rPr>
          <w:b/>
          <w:bCs/>
          <w:lang w:eastAsia="fr-FR"/>
        </w:rPr>
      </w:pPr>
    </w:p>
    <w:sdt>
      <w:sdtPr>
        <w:rPr>
          <w:b/>
          <w:bCs/>
          <w:lang w:eastAsia="fr-FR"/>
        </w:rPr>
        <w:id w:val="-595556880"/>
        <w:docPartObj>
          <w:docPartGallery w:val="Cover Pages"/>
          <w:docPartUnique/>
        </w:docPartObj>
      </w:sdtPr>
      <w:sdtEndPr/>
      <w:sdtContent>
        <w:p w14:paraId="41290C70" w14:textId="77777777" w:rsidR="00BE4788" w:rsidRDefault="00BE4788">
          <w:pPr>
            <w:jc w:val="left"/>
            <w:rPr>
              <w:b/>
              <w:bCs/>
              <w:lang w:eastAsia="fr-FR"/>
            </w:rPr>
          </w:pPr>
        </w:p>
        <w:p w14:paraId="48183AEB" w14:textId="77777777" w:rsidR="00BE4788" w:rsidRDefault="00BE4788" w:rsidP="00BE4788">
          <w:pPr>
            <w:pStyle w:val="CGPC-elearning"/>
            <w:rPr>
              <w:lang w:eastAsia="fr-FR"/>
            </w:rPr>
          </w:pPr>
          <w:r>
            <w:rPr>
              <w:lang w:eastAsia="fr-FR"/>
            </w:rPr>
            <w:br w:type="page"/>
          </w:r>
        </w:p>
        <w:p w14:paraId="43E30A0D" w14:textId="5ECF0C50" w:rsidR="00677448" w:rsidRDefault="007F0724">
          <w:pPr>
            <w:jc w:val="left"/>
            <w:rPr>
              <w:lang w:eastAsia="fr-FR"/>
            </w:rPr>
          </w:pP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24DDCE31" w14:textId="34AE43B3" w:rsidR="00196F86" w:rsidRDefault="008F0E8E">
          <w:pPr>
            <w:pStyle w:val="TM1"/>
            <w:tabs>
              <w:tab w:val="left" w:pos="480"/>
              <w:tab w:val="right" w:leader="dot" w:pos="20921"/>
            </w:tabs>
            <w:rPr>
              <w:rFonts w:asciiTheme="minorHAnsi" w:eastAsiaTheme="minorEastAsia" w:hAnsiTheme="minorHAnsi"/>
              <w:noProof/>
              <w:kern w:val="2"/>
              <w:szCs w:val="24"/>
              <w:lang w:val="en-US"/>
              <w14:ligatures w14:val="standardContextual"/>
            </w:rPr>
          </w:pPr>
          <w:r>
            <w:fldChar w:fldCharType="begin"/>
          </w:r>
          <w:r>
            <w:instrText xml:space="preserve"> TOC \o "1-4" \h \z \u </w:instrText>
          </w:r>
          <w:r>
            <w:fldChar w:fldCharType="separate"/>
          </w:r>
          <w:hyperlink w:anchor="_Toc207203383" w:history="1">
            <w:r w:rsidR="00196F86" w:rsidRPr="00A03AAA">
              <w:rPr>
                <w:rStyle w:val="Lienhypertexte"/>
                <w:noProof/>
              </w:rPr>
              <w:t>I.</w:t>
            </w:r>
            <w:r w:rsidR="00196F86">
              <w:rPr>
                <w:rFonts w:asciiTheme="minorHAnsi" w:eastAsiaTheme="minorEastAsia" w:hAnsiTheme="minorHAnsi"/>
                <w:noProof/>
                <w:kern w:val="2"/>
                <w:szCs w:val="24"/>
                <w:lang w:val="en-US"/>
                <w14:ligatures w14:val="standardContextual"/>
              </w:rPr>
              <w:tab/>
            </w:r>
            <w:r w:rsidR="00196F86" w:rsidRPr="00A03AAA">
              <w:rPr>
                <w:rStyle w:val="Lienhypertexte"/>
                <w:noProof/>
              </w:rPr>
              <w:t>Plus-values immobilières : champ d’application et exonérations</w:t>
            </w:r>
            <w:r w:rsidR="00196F86">
              <w:rPr>
                <w:noProof/>
                <w:webHidden/>
              </w:rPr>
              <w:tab/>
            </w:r>
            <w:r w:rsidR="00196F86">
              <w:rPr>
                <w:noProof/>
                <w:webHidden/>
              </w:rPr>
              <w:fldChar w:fldCharType="begin"/>
            </w:r>
            <w:r w:rsidR="00196F86">
              <w:rPr>
                <w:noProof/>
                <w:webHidden/>
              </w:rPr>
              <w:instrText xml:space="preserve"> PAGEREF _Toc207203383 \h </w:instrText>
            </w:r>
            <w:r w:rsidR="00196F86">
              <w:rPr>
                <w:noProof/>
                <w:webHidden/>
              </w:rPr>
            </w:r>
            <w:r w:rsidR="00196F86">
              <w:rPr>
                <w:noProof/>
                <w:webHidden/>
              </w:rPr>
              <w:fldChar w:fldCharType="separate"/>
            </w:r>
            <w:r w:rsidR="00196F86">
              <w:rPr>
                <w:noProof/>
                <w:webHidden/>
              </w:rPr>
              <w:t>0</w:t>
            </w:r>
            <w:r w:rsidR="00196F86">
              <w:rPr>
                <w:noProof/>
                <w:webHidden/>
              </w:rPr>
              <w:fldChar w:fldCharType="end"/>
            </w:r>
          </w:hyperlink>
        </w:p>
        <w:p w14:paraId="6C3BE65F" w14:textId="5D0D3175"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84" w:history="1">
            <w:r w:rsidRPr="00A03AAA">
              <w:rPr>
                <w:rStyle w:val="Lienhypertexte"/>
                <w:noProof/>
              </w:rPr>
              <w:t>1.</w:t>
            </w:r>
            <w:r>
              <w:rPr>
                <w:rFonts w:asciiTheme="minorHAnsi" w:eastAsiaTheme="minorEastAsia" w:hAnsiTheme="minorHAnsi"/>
                <w:noProof/>
                <w:kern w:val="2"/>
                <w:szCs w:val="24"/>
                <w:lang w:val="en-US"/>
                <w14:ligatures w14:val="standardContextual"/>
              </w:rPr>
              <w:tab/>
            </w:r>
            <w:r w:rsidRPr="00A03AAA">
              <w:rPr>
                <w:rStyle w:val="Lienhypertexte"/>
                <w:noProof/>
              </w:rPr>
              <w:t>Définition</w:t>
            </w:r>
            <w:r>
              <w:rPr>
                <w:noProof/>
                <w:webHidden/>
              </w:rPr>
              <w:tab/>
            </w:r>
            <w:r>
              <w:rPr>
                <w:noProof/>
                <w:webHidden/>
              </w:rPr>
              <w:fldChar w:fldCharType="begin"/>
            </w:r>
            <w:r>
              <w:rPr>
                <w:noProof/>
                <w:webHidden/>
              </w:rPr>
              <w:instrText xml:space="preserve"> PAGEREF _Toc207203384 \h </w:instrText>
            </w:r>
            <w:r>
              <w:rPr>
                <w:noProof/>
                <w:webHidden/>
              </w:rPr>
            </w:r>
            <w:r>
              <w:rPr>
                <w:noProof/>
                <w:webHidden/>
              </w:rPr>
              <w:fldChar w:fldCharType="separate"/>
            </w:r>
            <w:r>
              <w:rPr>
                <w:noProof/>
                <w:webHidden/>
              </w:rPr>
              <w:t>1</w:t>
            </w:r>
            <w:r>
              <w:rPr>
                <w:noProof/>
                <w:webHidden/>
              </w:rPr>
              <w:fldChar w:fldCharType="end"/>
            </w:r>
          </w:hyperlink>
        </w:p>
        <w:p w14:paraId="5101A9AC" w14:textId="55AAB872"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85" w:history="1">
            <w:r w:rsidRPr="00A03AAA">
              <w:rPr>
                <w:rStyle w:val="Lienhypertexte"/>
                <w:noProof/>
              </w:rPr>
              <w:t>2.</w:t>
            </w:r>
            <w:r>
              <w:rPr>
                <w:rFonts w:asciiTheme="minorHAnsi" w:eastAsiaTheme="minorEastAsia" w:hAnsiTheme="minorHAnsi"/>
                <w:noProof/>
                <w:kern w:val="2"/>
                <w:szCs w:val="24"/>
                <w:lang w:val="en-US"/>
                <w14:ligatures w14:val="standardContextual"/>
              </w:rPr>
              <w:tab/>
            </w:r>
            <w:r w:rsidRPr="00A03AAA">
              <w:rPr>
                <w:rStyle w:val="Lienhypertexte"/>
                <w:noProof/>
              </w:rPr>
              <w:t>Personnes imposables</w:t>
            </w:r>
            <w:r>
              <w:rPr>
                <w:noProof/>
                <w:webHidden/>
              </w:rPr>
              <w:tab/>
            </w:r>
            <w:r>
              <w:rPr>
                <w:noProof/>
                <w:webHidden/>
              </w:rPr>
              <w:fldChar w:fldCharType="begin"/>
            </w:r>
            <w:r>
              <w:rPr>
                <w:noProof/>
                <w:webHidden/>
              </w:rPr>
              <w:instrText xml:space="preserve"> PAGEREF _Toc207203385 \h </w:instrText>
            </w:r>
            <w:r>
              <w:rPr>
                <w:noProof/>
                <w:webHidden/>
              </w:rPr>
            </w:r>
            <w:r>
              <w:rPr>
                <w:noProof/>
                <w:webHidden/>
              </w:rPr>
              <w:fldChar w:fldCharType="separate"/>
            </w:r>
            <w:r>
              <w:rPr>
                <w:noProof/>
                <w:webHidden/>
              </w:rPr>
              <w:t>1</w:t>
            </w:r>
            <w:r>
              <w:rPr>
                <w:noProof/>
                <w:webHidden/>
              </w:rPr>
              <w:fldChar w:fldCharType="end"/>
            </w:r>
          </w:hyperlink>
        </w:p>
        <w:p w14:paraId="47D6F956" w14:textId="7E9A3485"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86" w:history="1">
            <w:r w:rsidRPr="00A03AAA">
              <w:rPr>
                <w:rStyle w:val="Lienhypertexte"/>
                <w:noProof/>
              </w:rPr>
              <w:t>3.</w:t>
            </w:r>
            <w:r>
              <w:rPr>
                <w:rFonts w:asciiTheme="minorHAnsi" w:eastAsiaTheme="minorEastAsia" w:hAnsiTheme="minorHAnsi"/>
                <w:noProof/>
                <w:kern w:val="2"/>
                <w:szCs w:val="24"/>
                <w:lang w:val="en-US"/>
                <w14:ligatures w14:val="standardContextual"/>
              </w:rPr>
              <w:tab/>
            </w:r>
            <w:r w:rsidRPr="00A03AAA">
              <w:rPr>
                <w:rStyle w:val="Lienhypertexte"/>
                <w:noProof/>
              </w:rPr>
              <w:t>Opérations et biens imposables :</w:t>
            </w:r>
            <w:r>
              <w:rPr>
                <w:noProof/>
                <w:webHidden/>
              </w:rPr>
              <w:tab/>
            </w:r>
            <w:r>
              <w:rPr>
                <w:noProof/>
                <w:webHidden/>
              </w:rPr>
              <w:fldChar w:fldCharType="begin"/>
            </w:r>
            <w:r>
              <w:rPr>
                <w:noProof/>
                <w:webHidden/>
              </w:rPr>
              <w:instrText xml:space="preserve"> PAGEREF _Toc207203386 \h </w:instrText>
            </w:r>
            <w:r>
              <w:rPr>
                <w:noProof/>
                <w:webHidden/>
              </w:rPr>
            </w:r>
            <w:r>
              <w:rPr>
                <w:noProof/>
                <w:webHidden/>
              </w:rPr>
              <w:fldChar w:fldCharType="separate"/>
            </w:r>
            <w:r>
              <w:rPr>
                <w:noProof/>
                <w:webHidden/>
              </w:rPr>
              <w:t>2</w:t>
            </w:r>
            <w:r>
              <w:rPr>
                <w:noProof/>
                <w:webHidden/>
              </w:rPr>
              <w:fldChar w:fldCharType="end"/>
            </w:r>
          </w:hyperlink>
        </w:p>
        <w:p w14:paraId="1D282785" w14:textId="62B46327"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87" w:history="1">
            <w:r w:rsidRPr="00A03AAA">
              <w:rPr>
                <w:rStyle w:val="Lienhypertexte"/>
                <w:noProof/>
              </w:rPr>
              <w:t>4.</w:t>
            </w:r>
            <w:r>
              <w:rPr>
                <w:rFonts w:asciiTheme="minorHAnsi" w:eastAsiaTheme="minorEastAsia" w:hAnsiTheme="minorHAnsi"/>
                <w:noProof/>
                <w:kern w:val="2"/>
                <w:szCs w:val="24"/>
                <w:lang w:val="en-US"/>
                <w14:ligatures w14:val="standardContextual"/>
              </w:rPr>
              <w:tab/>
            </w:r>
            <w:r w:rsidRPr="00A03AAA">
              <w:rPr>
                <w:rStyle w:val="Lienhypertexte"/>
                <w:noProof/>
              </w:rPr>
              <w:t>Exonérations :</w:t>
            </w:r>
            <w:r>
              <w:rPr>
                <w:noProof/>
                <w:webHidden/>
              </w:rPr>
              <w:tab/>
            </w:r>
            <w:r>
              <w:rPr>
                <w:noProof/>
                <w:webHidden/>
              </w:rPr>
              <w:fldChar w:fldCharType="begin"/>
            </w:r>
            <w:r>
              <w:rPr>
                <w:noProof/>
                <w:webHidden/>
              </w:rPr>
              <w:instrText xml:space="preserve"> PAGEREF _Toc207203387 \h </w:instrText>
            </w:r>
            <w:r>
              <w:rPr>
                <w:noProof/>
                <w:webHidden/>
              </w:rPr>
            </w:r>
            <w:r>
              <w:rPr>
                <w:noProof/>
                <w:webHidden/>
              </w:rPr>
              <w:fldChar w:fldCharType="separate"/>
            </w:r>
            <w:r>
              <w:rPr>
                <w:noProof/>
                <w:webHidden/>
              </w:rPr>
              <w:t>2</w:t>
            </w:r>
            <w:r>
              <w:rPr>
                <w:noProof/>
                <w:webHidden/>
              </w:rPr>
              <w:fldChar w:fldCharType="end"/>
            </w:r>
          </w:hyperlink>
        </w:p>
        <w:p w14:paraId="2880D38A" w14:textId="410DC29F" w:rsidR="00196F86" w:rsidRDefault="00196F86">
          <w:pPr>
            <w:pStyle w:val="TM3"/>
            <w:rPr>
              <w:rFonts w:asciiTheme="minorHAnsi" w:eastAsiaTheme="minorEastAsia" w:hAnsiTheme="minorHAnsi"/>
              <w:noProof/>
              <w:kern w:val="2"/>
              <w:szCs w:val="24"/>
              <w:lang w:val="en-US"/>
              <w14:ligatures w14:val="standardContextual"/>
            </w:rPr>
          </w:pPr>
          <w:hyperlink w:anchor="_Toc207203388" w:history="1">
            <w:r w:rsidRPr="00A03AAA">
              <w:rPr>
                <w:rStyle w:val="Lienhypertexte"/>
                <w:noProof/>
              </w:rPr>
              <w:t>A.</w:t>
            </w:r>
            <w:r>
              <w:rPr>
                <w:rFonts w:asciiTheme="minorHAnsi" w:eastAsiaTheme="minorEastAsia" w:hAnsiTheme="minorHAnsi"/>
                <w:noProof/>
                <w:kern w:val="2"/>
                <w:szCs w:val="24"/>
                <w:lang w:val="en-US"/>
                <w14:ligatures w14:val="standardContextual"/>
              </w:rPr>
              <w:tab/>
            </w:r>
            <w:r w:rsidRPr="00A03AAA">
              <w:rPr>
                <w:rStyle w:val="Lienhypertexte"/>
                <w:noProof/>
              </w:rPr>
              <w:t>Exonérations liées à la nature du bien cédé</w:t>
            </w:r>
            <w:r>
              <w:rPr>
                <w:noProof/>
                <w:webHidden/>
              </w:rPr>
              <w:tab/>
            </w:r>
            <w:r>
              <w:rPr>
                <w:noProof/>
                <w:webHidden/>
              </w:rPr>
              <w:fldChar w:fldCharType="begin"/>
            </w:r>
            <w:r>
              <w:rPr>
                <w:noProof/>
                <w:webHidden/>
              </w:rPr>
              <w:instrText xml:space="preserve"> PAGEREF _Toc207203388 \h </w:instrText>
            </w:r>
            <w:r>
              <w:rPr>
                <w:noProof/>
                <w:webHidden/>
              </w:rPr>
            </w:r>
            <w:r>
              <w:rPr>
                <w:noProof/>
                <w:webHidden/>
              </w:rPr>
              <w:fldChar w:fldCharType="separate"/>
            </w:r>
            <w:r>
              <w:rPr>
                <w:noProof/>
                <w:webHidden/>
              </w:rPr>
              <w:t>2</w:t>
            </w:r>
            <w:r>
              <w:rPr>
                <w:noProof/>
                <w:webHidden/>
              </w:rPr>
              <w:fldChar w:fldCharType="end"/>
            </w:r>
          </w:hyperlink>
        </w:p>
        <w:p w14:paraId="71400DC7" w14:textId="6525F9DB" w:rsidR="00196F86" w:rsidRDefault="00196F86">
          <w:pPr>
            <w:pStyle w:val="TM3"/>
            <w:rPr>
              <w:rFonts w:asciiTheme="minorHAnsi" w:eastAsiaTheme="minorEastAsia" w:hAnsiTheme="minorHAnsi"/>
              <w:noProof/>
              <w:kern w:val="2"/>
              <w:szCs w:val="24"/>
              <w:lang w:val="en-US"/>
              <w14:ligatures w14:val="standardContextual"/>
            </w:rPr>
          </w:pPr>
          <w:hyperlink w:anchor="_Toc207203389" w:history="1">
            <w:r w:rsidRPr="00A03AAA">
              <w:rPr>
                <w:rStyle w:val="Lienhypertexte"/>
                <w:noProof/>
              </w:rPr>
              <w:t>B.</w:t>
            </w:r>
            <w:r>
              <w:rPr>
                <w:rFonts w:asciiTheme="minorHAnsi" w:eastAsiaTheme="minorEastAsia" w:hAnsiTheme="minorHAnsi"/>
                <w:noProof/>
                <w:kern w:val="2"/>
                <w:szCs w:val="24"/>
                <w:lang w:val="en-US"/>
                <w14:ligatures w14:val="standardContextual"/>
              </w:rPr>
              <w:tab/>
            </w:r>
            <w:r w:rsidRPr="00A03AAA">
              <w:rPr>
                <w:rStyle w:val="Lienhypertexte"/>
                <w:noProof/>
              </w:rPr>
              <w:t>Exonérations liés à la qualité du vendeur :</w:t>
            </w:r>
            <w:r>
              <w:rPr>
                <w:noProof/>
                <w:webHidden/>
              </w:rPr>
              <w:tab/>
            </w:r>
            <w:r>
              <w:rPr>
                <w:noProof/>
                <w:webHidden/>
              </w:rPr>
              <w:fldChar w:fldCharType="begin"/>
            </w:r>
            <w:r>
              <w:rPr>
                <w:noProof/>
                <w:webHidden/>
              </w:rPr>
              <w:instrText xml:space="preserve"> PAGEREF _Toc207203389 \h </w:instrText>
            </w:r>
            <w:r>
              <w:rPr>
                <w:noProof/>
                <w:webHidden/>
              </w:rPr>
            </w:r>
            <w:r>
              <w:rPr>
                <w:noProof/>
                <w:webHidden/>
              </w:rPr>
              <w:fldChar w:fldCharType="separate"/>
            </w:r>
            <w:r>
              <w:rPr>
                <w:noProof/>
                <w:webHidden/>
              </w:rPr>
              <w:t>3</w:t>
            </w:r>
            <w:r>
              <w:rPr>
                <w:noProof/>
                <w:webHidden/>
              </w:rPr>
              <w:fldChar w:fldCharType="end"/>
            </w:r>
          </w:hyperlink>
        </w:p>
        <w:p w14:paraId="415D716C" w14:textId="7D33754B"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90" w:history="1">
            <w:r w:rsidRPr="00A03AAA">
              <w:rPr>
                <w:rStyle w:val="Lienhypertexte"/>
                <w:noProof/>
              </w:rPr>
              <w:t>5.</w:t>
            </w:r>
            <w:r>
              <w:rPr>
                <w:rFonts w:asciiTheme="minorHAnsi" w:eastAsiaTheme="minorEastAsia" w:hAnsiTheme="minorHAnsi"/>
                <w:noProof/>
                <w:kern w:val="2"/>
                <w:szCs w:val="24"/>
                <w:lang w:val="en-US"/>
                <w14:ligatures w14:val="standardContextual"/>
              </w:rPr>
              <w:tab/>
            </w:r>
            <w:r w:rsidRPr="00A03AAA">
              <w:rPr>
                <w:rStyle w:val="Lienhypertexte"/>
                <w:noProof/>
              </w:rPr>
              <w:t>Calcul de la  plus-value brute :</w:t>
            </w:r>
            <w:r>
              <w:rPr>
                <w:noProof/>
                <w:webHidden/>
              </w:rPr>
              <w:tab/>
            </w:r>
            <w:r>
              <w:rPr>
                <w:noProof/>
                <w:webHidden/>
              </w:rPr>
              <w:fldChar w:fldCharType="begin"/>
            </w:r>
            <w:r>
              <w:rPr>
                <w:noProof/>
                <w:webHidden/>
              </w:rPr>
              <w:instrText xml:space="preserve"> PAGEREF _Toc207203390 \h </w:instrText>
            </w:r>
            <w:r>
              <w:rPr>
                <w:noProof/>
                <w:webHidden/>
              </w:rPr>
            </w:r>
            <w:r>
              <w:rPr>
                <w:noProof/>
                <w:webHidden/>
              </w:rPr>
              <w:fldChar w:fldCharType="separate"/>
            </w:r>
            <w:r>
              <w:rPr>
                <w:noProof/>
                <w:webHidden/>
              </w:rPr>
              <w:t>4</w:t>
            </w:r>
            <w:r>
              <w:rPr>
                <w:noProof/>
                <w:webHidden/>
              </w:rPr>
              <w:fldChar w:fldCharType="end"/>
            </w:r>
          </w:hyperlink>
        </w:p>
        <w:p w14:paraId="38D505E4" w14:textId="1EBFB630"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91" w:history="1">
            <w:r w:rsidRPr="00A03AAA">
              <w:rPr>
                <w:rStyle w:val="Lienhypertexte"/>
                <w:noProof/>
              </w:rPr>
              <w:t>6.</w:t>
            </w:r>
            <w:r>
              <w:rPr>
                <w:rFonts w:asciiTheme="minorHAnsi" w:eastAsiaTheme="minorEastAsia" w:hAnsiTheme="minorHAnsi"/>
                <w:noProof/>
                <w:kern w:val="2"/>
                <w:szCs w:val="24"/>
                <w:lang w:val="en-US"/>
                <w14:ligatures w14:val="standardContextual"/>
              </w:rPr>
              <w:tab/>
            </w:r>
            <w:r w:rsidRPr="00A03AAA">
              <w:rPr>
                <w:rStyle w:val="Lienhypertexte"/>
                <w:noProof/>
              </w:rPr>
              <w:t>Calcul des plus-values imposable :</w:t>
            </w:r>
            <w:r>
              <w:rPr>
                <w:noProof/>
                <w:webHidden/>
              </w:rPr>
              <w:tab/>
            </w:r>
            <w:r>
              <w:rPr>
                <w:noProof/>
                <w:webHidden/>
              </w:rPr>
              <w:fldChar w:fldCharType="begin"/>
            </w:r>
            <w:r>
              <w:rPr>
                <w:noProof/>
                <w:webHidden/>
              </w:rPr>
              <w:instrText xml:space="preserve"> PAGEREF _Toc207203391 \h </w:instrText>
            </w:r>
            <w:r>
              <w:rPr>
                <w:noProof/>
                <w:webHidden/>
              </w:rPr>
            </w:r>
            <w:r>
              <w:rPr>
                <w:noProof/>
                <w:webHidden/>
              </w:rPr>
              <w:fldChar w:fldCharType="separate"/>
            </w:r>
            <w:r>
              <w:rPr>
                <w:noProof/>
                <w:webHidden/>
              </w:rPr>
              <w:t>5</w:t>
            </w:r>
            <w:r>
              <w:rPr>
                <w:noProof/>
                <w:webHidden/>
              </w:rPr>
              <w:fldChar w:fldCharType="end"/>
            </w:r>
          </w:hyperlink>
        </w:p>
        <w:p w14:paraId="5F4FC482" w14:textId="5CE93F65" w:rsidR="00196F86" w:rsidRDefault="00196F86">
          <w:pPr>
            <w:pStyle w:val="TM3"/>
            <w:rPr>
              <w:rFonts w:asciiTheme="minorHAnsi" w:eastAsiaTheme="minorEastAsia" w:hAnsiTheme="minorHAnsi"/>
              <w:noProof/>
              <w:kern w:val="2"/>
              <w:szCs w:val="24"/>
              <w:lang w:val="en-US"/>
              <w14:ligatures w14:val="standardContextual"/>
            </w:rPr>
          </w:pPr>
          <w:hyperlink w:anchor="_Toc207203392" w:history="1">
            <w:r w:rsidRPr="00A03AAA">
              <w:rPr>
                <w:rStyle w:val="Lienhypertexte"/>
                <w:noProof/>
              </w:rPr>
              <w:t>A.</w:t>
            </w:r>
            <w:r>
              <w:rPr>
                <w:rFonts w:asciiTheme="minorHAnsi" w:eastAsiaTheme="minorEastAsia" w:hAnsiTheme="minorHAnsi"/>
                <w:noProof/>
                <w:kern w:val="2"/>
                <w:szCs w:val="24"/>
                <w:lang w:val="en-US"/>
                <w14:ligatures w14:val="standardContextual"/>
              </w:rPr>
              <w:tab/>
            </w:r>
            <w:r w:rsidRPr="00A03AAA">
              <w:rPr>
                <w:rStyle w:val="Lienhypertexte"/>
                <w:noProof/>
              </w:rPr>
              <w:t>Abattement pour durée de détention</w:t>
            </w:r>
            <w:r>
              <w:rPr>
                <w:noProof/>
                <w:webHidden/>
              </w:rPr>
              <w:tab/>
            </w:r>
            <w:r>
              <w:rPr>
                <w:noProof/>
                <w:webHidden/>
              </w:rPr>
              <w:fldChar w:fldCharType="begin"/>
            </w:r>
            <w:r>
              <w:rPr>
                <w:noProof/>
                <w:webHidden/>
              </w:rPr>
              <w:instrText xml:space="preserve"> PAGEREF _Toc207203392 \h </w:instrText>
            </w:r>
            <w:r>
              <w:rPr>
                <w:noProof/>
                <w:webHidden/>
              </w:rPr>
            </w:r>
            <w:r>
              <w:rPr>
                <w:noProof/>
                <w:webHidden/>
              </w:rPr>
              <w:fldChar w:fldCharType="separate"/>
            </w:r>
            <w:r>
              <w:rPr>
                <w:noProof/>
                <w:webHidden/>
              </w:rPr>
              <w:t>5</w:t>
            </w:r>
            <w:r>
              <w:rPr>
                <w:noProof/>
                <w:webHidden/>
              </w:rPr>
              <w:fldChar w:fldCharType="end"/>
            </w:r>
          </w:hyperlink>
        </w:p>
        <w:p w14:paraId="12329069" w14:textId="44C085EA" w:rsidR="00196F86" w:rsidRDefault="00196F86">
          <w:pPr>
            <w:pStyle w:val="TM3"/>
            <w:rPr>
              <w:rFonts w:asciiTheme="minorHAnsi" w:eastAsiaTheme="minorEastAsia" w:hAnsiTheme="minorHAnsi"/>
              <w:noProof/>
              <w:kern w:val="2"/>
              <w:szCs w:val="24"/>
              <w:lang w:val="en-US"/>
              <w14:ligatures w14:val="standardContextual"/>
            </w:rPr>
          </w:pPr>
          <w:hyperlink w:anchor="_Toc207203393" w:history="1">
            <w:r w:rsidRPr="00A03AAA">
              <w:rPr>
                <w:rStyle w:val="Lienhypertexte"/>
                <w:noProof/>
              </w:rPr>
              <w:t>B.</w:t>
            </w:r>
            <w:r>
              <w:rPr>
                <w:rFonts w:asciiTheme="minorHAnsi" w:eastAsiaTheme="minorEastAsia" w:hAnsiTheme="minorHAnsi"/>
                <w:noProof/>
                <w:kern w:val="2"/>
                <w:szCs w:val="24"/>
                <w:lang w:val="en-US"/>
                <w14:ligatures w14:val="standardContextual"/>
              </w:rPr>
              <w:tab/>
            </w:r>
            <w:r w:rsidRPr="00A03AAA">
              <w:rPr>
                <w:rStyle w:val="Lienhypertexte"/>
                <w:noProof/>
              </w:rPr>
              <w:t>Abattement exceptionnel en zones tendues :</w:t>
            </w:r>
            <w:r>
              <w:rPr>
                <w:noProof/>
                <w:webHidden/>
              </w:rPr>
              <w:tab/>
            </w:r>
            <w:r>
              <w:rPr>
                <w:noProof/>
                <w:webHidden/>
              </w:rPr>
              <w:fldChar w:fldCharType="begin"/>
            </w:r>
            <w:r>
              <w:rPr>
                <w:noProof/>
                <w:webHidden/>
              </w:rPr>
              <w:instrText xml:space="preserve"> PAGEREF _Toc207203393 \h </w:instrText>
            </w:r>
            <w:r>
              <w:rPr>
                <w:noProof/>
                <w:webHidden/>
              </w:rPr>
            </w:r>
            <w:r>
              <w:rPr>
                <w:noProof/>
                <w:webHidden/>
              </w:rPr>
              <w:fldChar w:fldCharType="separate"/>
            </w:r>
            <w:r>
              <w:rPr>
                <w:noProof/>
                <w:webHidden/>
              </w:rPr>
              <w:t>6</w:t>
            </w:r>
            <w:r>
              <w:rPr>
                <w:noProof/>
                <w:webHidden/>
              </w:rPr>
              <w:fldChar w:fldCharType="end"/>
            </w:r>
          </w:hyperlink>
        </w:p>
        <w:p w14:paraId="38DAD62D" w14:textId="6E26E278" w:rsidR="00196F86" w:rsidRDefault="00196F86">
          <w:pPr>
            <w:pStyle w:val="TM3"/>
            <w:rPr>
              <w:rFonts w:asciiTheme="minorHAnsi" w:eastAsiaTheme="minorEastAsia" w:hAnsiTheme="minorHAnsi"/>
              <w:noProof/>
              <w:kern w:val="2"/>
              <w:szCs w:val="24"/>
              <w:lang w:val="en-US"/>
              <w14:ligatures w14:val="standardContextual"/>
            </w:rPr>
          </w:pPr>
          <w:hyperlink w:anchor="_Toc207203394" w:history="1">
            <w:r w:rsidRPr="00A03AAA">
              <w:rPr>
                <w:rStyle w:val="Lienhypertexte"/>
                <w:noProof/>
              </w:rPr>
              <w:t>C.</w:t>
            </w:r>
            <w:r>
              <w:rPr>
                <w:rFonts w:asciiTheme="minorHAnsi" w:eastAsiaTheme="minorEastAsia" w:hAnsiTheme="minorHAnsi"/>
                <w:noProof/>
                <w:kern w:val="2"/>
                <w:szCs w:val="24"/>
                <w:lang w:val="en-US"/>
                <w14:ligatures w14:val="standardContextual"/>
              </w:rPr>
              <w:tab/>
            </w:r>
            <w:r w:rsidRPr="00A03AAA">
              <w:rPr>
                <w:rStyle w:val="Lienhypertexte"/>
                <w:noProof/>
              </w:rPr>
              <w:t>Taxation proportionnelle et surtaxe :</w:t>
            </w:r>
            <w:r>
              <w:rPr>
                <w:noProof/>
                <w:webHidden/>
              </w:rPr>
              <w:tab/>
            </w:r>
            <w:r>
              <w:rPr>
                <w:noProof/>
                <w:webHidden/>
              </w:rPr>
              <w:fldChar w:fldCharType="begin"/>
            </w:r>
            <w:r>
              <w:rPr>
                <w:noProof/>
                <w:webHidden/>
              </w:rPr>
              <w:instrText xml:space="preserve"> PAGEREF _Toc207203394 \h </w:instrText>
            </w:r>
            <w:r>
              <w:rPr>
                <w:noProof/>
                <w:webHidden/>
              </w:rPr>
            </w:r>
            <w:r>
              <w:rPr>
                <w:noProof/>
                <w:webHidden/>
              </w:rPr>
              <w:fldChar w:fldCharType="separate"/>
            </w:r>
            <w:r>
              <w:rPr>
                <w:noProof/>
                <w:webHidden/>
              </w:rPr>
              <w:t>6</w:t>
            </w:r>
            <w:r>
              <w:rPr>
                <w:noProof/>
                <w:webHidden/>
              </w:rPr>
              <w:fldChar w:fldCharType="end"/>
            </w:r>
          </w:hyperlink>
        </w:p>
        <w:p w14:paraId="3E574182" w14:textId="5E5AC17E" w:rsidR="00196F86" w:rsidRDefault="00196F86">
          <w:pPr>
            <w:pStyle w:val="TM3"/>
            <w:rPr>
              <w:rFonts w:asciiTheme="minorHAnsi" w:eastAsiaTheme="minorEastAsia" w:hAnsiTheme="minorHAnsi"/>
              <w:noProof/>
              <w:kern w:val="2"/>
              <w:szCs w:val="24"/>
              <w:lang w:val="en-US"/>
              <w14:ligatures w14:val="standardContextual"/>
            </w:rPr>
          </w:pPr>
          <w:hyperlink w:anchor="_Toc207203395" w:history="1">
            <w:r w:rsidRPr="00A03AAA">
              <w:rPr>
                <w:rStyle w:val="Lienhypertexte"/>
                <w:noProof/>
              </w:rPr>
              <w:t>D.</w:t>
            </w:r>
            <w:r>
              <w:rPr>
                <w:rFonts w:asciiTheme="minorHAnsi" w:eastAsiaTheme="minorEastAsia" w:hAnsiTheme="minorHAnsi"/>
                <w:noProof/>
                <w:kern w:val="2"/>
                <w:szCs w:val="24"/>
                <w:lang w:val="en-US"/>
                <w14:ligatures w14:val="standardContextual"/>
              </w:rPr>
              <w:tab/>
            </w:r>
            <w:r w:rsidRPr="00A03AAA">
              <w:rPr>
                <w:rStyle w:val="Lienhypertexte"/>
                <w:noProof/>
              </w:rPr>
              <w:t>Cession d’une résidence principale</w:t>
            </w:r>
            <w:r>
              <w:rPr>
                <w:noProof/>
                <w:webHidden/>
              </w:rPr>
              <w:tab/>
            </w:r>
            <w:r>
              <w:rPr>
                <w:noProof/>
                <w:webHidden/>
              </w:rPr>
              <w:fldChar w:fldCharType="begin"/>
            </w:r>
            <w:r>
              <w:rPr>
                <w:noProof/>
                <w:webHidden/>
              </w:rPr>
              <w:instrText xml:space="preserve"> PAGEREF _Toc207203395 \h </w:instrText>
            </w:r>
            <w:r>
              <w:rPr>
                <w:noProof/>
                <w:webHidden/>
              </w:rPr>
            </w:r>
            <w:r>
              <w:rPr>
                <w:noProof/>
                <w:webHidden/>
              </w:rPr>
              <w:fldChar w:fldCharType="separate"/>
            </w:r>
            <w:r>
              <w:rPr>
                <w:noProof/>
                <w:webHidden/>
              </w:rPr>
              <w:t>7</w:t>
            </w:r>
            <w:r>
              <w:rPr>
                <w:noProof/>
                <w:webHidden/>
              </w:rPr>
              <w:fldChar w:fldCharType="end"/>
            </w:r>
          </w:hyperlink>
        </w:p>
        <w:p w14:paraId="3478E4CE" w14:textId="425697BF" w:rsidR="00196F86" w:rsidRDefault="00196F86">
          <w:pPr>
            <w:pStyle w:val="TM1"/>
            <w:tabs>
              <w:tab w:val="left" w:pos="480"/>
              <w:tab w:val="right" w:leader="dot" w:pos="20921"/>
            </w:tabs>
            <w:rPr>
              <w:rFonts w:asciiTheme="minorHAnsi" w:eastAsiaTheme="minorEastAsia" w:hAnsiTheme="minorHAnsi"/>
              <w:noProof/>
              <w:kern w:val="2"/>
              <w:szCs w:val="24"/>
              <w:lang w:val="en-US"/>
              <w14:ligatures w14:val="standardContextual"/>
            </w:rPr>
          </w:pPr>
          <w:hyperlink w:anchor="_Toc207203396" w:history="1">
            <w:r w:rsidRPr="00A03AAA">
              <w:rPr>
                <w:rStyle w:val="Lienhypertexte"/>
                <w:noProof/>
              </w:rPr>
              <w:t>II.</w:t>
            </w:r>
            <w:r>
              <w:rPr>
                <w:rFonts w:asciiTheme="minorHAnsi" w:eastAsiaTheme="minorEastAsia" w:hAnsiTheme="minorHAnsi"/>
                <w:noProof/>
                <w:kern w:val="2"/>
                <w:szCs w:val="24"/>
                <w:lang w:val="en-US"/>
                <w14:ligatures w14:val="standardContextual"/>
              </w:rPr>
              <w:tab/>
            </w:r>
            <w:r w:rsidRPr="00A03AAA">
              <w:rPr>
                <w:rStyle w:val="Lienhypertexte"/>
                <w:noProof/>
              </w:rPr>
              <w:t>La vente d’un bien pour un locataire</w:t>
            </w:r>
            <w:r>
              <w:rPr>
                <w:noProof/>
                <w:webHidden/>
              </w:rPr>
              <w:tab/>
            </w:r>
            <w:r>
              <w:rPr>
                <w:noProof/>
                <w:webHidden/>
              </w:rPr>
              <w:fldChar w:fldCharType="begin"/>
            </w:r>
            <w:r>
              <w:rPr>
                <w:noProof/>
                <w:webHidden/>
              </w:rPr>
              <w:instrText xml:space="preserve"> PAGEREF _Toc207203396 \h </w:instrText>
            </w:r>
            <w:r>
              <w:rPr>
                <w:noProof/>
                <w:webHidden/>
              </w:rPr>
            </w:r>
            <w:r>
              <w:rPr>
                <w:noProof/>
                <w:webHidden/>
              </w:rPr>
              <w:fldChar w:fldCharType="separate"/>
            </w:r>
            <w:r>
              <w:rPr>
                <w:noProof/>
                <w:webHidden/>
              </w:rPr>
              <w:t>9</w:t>
            </w:r>
            <w:r>
              <w:rPr>
                <w:noProof/>
                <w:webHidden/>
              </w:rPr>
              <w:fldChar w:fldCharType="end"/>
            </w:r>
          </w:hyperlink>
        </w:p>
        <w:p w14:paraId="1CEE7EBE" w14:textId="4F0C95CD"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397" w:history="1">
            <w:r w:rsidRPr="00A03AAA">
              <w:rPr>
                <w:rStyle w:val="Lienhypertexte"/>
                <w:noProof/>
              </w:rPr>
              <w:t>1.</w:t>
            </w:r>
            <w:r>
              <w:rPr>
                <w:rFonts w:asciiTheme="minorHAnsi" w:eastAsiaTheme="minorEastAsia" w:hAnsiTheme="minorHAnsi"/>
                <w:noProof/>
                <w:kern w:val="2"/>
                <w:szCs w:val="24"/>
                <w:lang w:val="en-US"/>
                <w14:ligatures w14:val="standardContextual"/>
              </w:rPr>
              <w:tab/>
            </w:r>
            <w:r w:rsidRPr="00A03AAA">
              <w:rPr>
                <w:rStyle w:val="Lienhypertexte"/>
                <w:noProof/>
              </w:rPr>
              <w:t>Congé pour vente : le locataire est-il toujours prioritaire pour acheter ?</w:t>
            </w:r>
            <w:r>
              <w:rPr>
                <w:noProof/>
                <w:webHidden/>
              </w:rPr>
              <w:tab/>
            </w:r>
            <w:r>
              <w:rPr>
                <w:noProof/>
                <w:webHidden/>
              </w:rPr>
              <w:fldChar w:fldCharType="begin"/>
            </w:r>
            <w:r>
              <w:rPr>
                <w:noProof/>
                <w:webHidden/>
              </w:rPr>
              <w:instrText xml:space="preserve"> PAGEREF _Toc207203397 \h </w:instrText>
            </w:r>
            <w:r>
              <w:rPr>
                <w:noProof/>
                <w:webHidden/>
              </w:rPr>
            </w:r>
            <w:r>
              <w:rPr>
                <w:noProof/>
                <w:webHidden/>
              </w:rPr>
              <w:fldChar w:fldCharType="separate"/>
            </w:r>
            <w:r>
              <w:rPr>
                <w:noProof/>
                <w:webHidden/>
              </w:rPr>
              <w:t>10</w:t>
            </w:r>
            <w:r>
              <w:rPr>
                <w:noProof/>
                <w:webHidden/>
              </w:rPr>
              <w:fldChar w:fldCharType="end"/>
            </w:r>
          </w:hyperlink>
        </w:p>
        <w:p w14:paraId="0480F294" w14:textId="76FF3B4B" w:rsidR="00196F86" w:rsidRDefault="00196F86">
          <w:pPr>
            <w:pStyle w:val="TM3"/>
            <w:rPr>
              <w:rFonts w:asciiTheme="minorHAnsi" w:eastAsiaTheme="minorEastAsia" w:hAnsiTheme="minorHAnsi"/>
              <w:noProof/>
              <w:kern w:val="2"/>
              <w:szCs w:val="24"/>
              <w:lang w:val="en-US"/>
              <w14:ligatures w14:val="standardContextual"/>
            </w:rPr>
          </w:pPr>
          <w:hyperlink w:anchor="_Toc207203398" w:history="1">
            <w:r w:rsidRPr="00A03AAA">
              <w:rPr>
                <w:rStyle w:val="Lienhypertexte"/>
                <w:noProof/>
              </w:rPr>
              <w:t>A.</w:t>
            </w:r>
            <w:r>
              <w:rPr>
                <w:rFonts w:asciiTheme="minorHAnsi" w:eastAsiaTheme="minorEastAsia" w:hAnsiTheme="minorHAnsi"/>
                <w:noProof/>
                <w:kern w:val="2"/>
                <w:szCs w:val="24"/>
                <w:lang w:val="en-US"/>
                <w14:ligatures w14:val="standardContextual"/>
              </w:rPr>
              <w:tab/>
            </w:r>
            <w:r w:rsidRPr="00A03AAA">
              <w:rPr>
                <w:rStyle w:val="Lienhypertexte"/>
                <w:noProof/>
              </w:rPr>
              <w:t>Qu’est-ce que le droit de préemption ?</w:t>
            </w:r>
            <w:r>
              <w:rPr>
                <w:noProof/>
                <w:webHidden/>
              </w:rPr>
              <w:tab/>
            </w:r>
            <w:r>
              <w:rPr>
                <w:noProof/>
                <w:webHidden/>
              </w:rPr>
              <w:fldChar w:fldCharType="begin"/>
            </w:r>
            <w:r>
              <w:rPr>
                <w:noProof/>
                <w:webHidden/>
              </w:rPr>
              <w:instrText xml:space="preserve"> PAGEREF _Toc207203398 \h </w:instrText>
            </w:r>
            <w:r>
              <w:rPr>
                <w:noProof/>
                <w:webHidden/>
              </w:rPr>
            </w:r>
            <w:r>
              <w:rPr>
                <w:noProof/>
                <w:webHidden/>
              </w:rPr>
              <w:fldChar w:fldCharType="separate"/>
            </w:r>
            <w:r>
              <w:rPr>
                <w:noProof/>
                <w:webHidden/>
              </w:rPr>
              <w:t>10</w:t>
            </w:r>
            <w:r>
              <w:rPr>
                <w:noProof/>
                <w:webHidden/>
              </w:rPr>
              <w:fldChar w:fldCharType="end"/>
            </w:r>
          </w:hyperlink>
        </w:p>
        <w:p w14:paraId="61E6CA0A" w14:textId="6BACC397" w:rsidR="00196F86" w:rsidRDefault="00196F86">
          <w:pPr>
            <w:pStyle w:val="TM3"/>
            <w:rPr>
              <w:rFonts w:asciiTheme="minorHAnsi" w:eastAsiaTheme="minorEastAsia" w:hAnsiTheme="minorHAnsi"/>
              <w:noProof/>
              <w:kern w:val="2"/>
              <w:szCs w:val="24"/>
              <w:lang w:val="en-US"/>
              <w14:ligatures w14:val="standardContextual"/>
            </w:rPr>
          </w:pPr>
          <w:hyperlink w:anchor="_Toc207203399" w:history="1">
            <w:r w:rsidRPr="00A03AAA">
              <w:rPr>
                <w:rStyle w:val="Lienhypertexte"/>
                <w:noProof/>
              </w:rPr>
              <w:t>B.</w:t>
            </w:r>
            <w:r>
              <w:rPr>
                <w:rFonts w:asciiTheme="minorHAnsi" w:eastAsiaTheme="minorEastAsia" w:hAnsiTheme="minorHAnsi"/>
                <w:noProof/>
                <w:kern w:val="2"/>
                <w:szCs w:val="24"/>
                <w:lang w:val="en-US"/>
                <w14:ligatures w14:val="standardContextual"/>
              </w:rPr>
              <w:tab/>
            </w:r>
            <w:r w:rsidRPr="00A03AAA">
              <w:rPr>
                <w:rStyle w:val="Lienhypertexte"/>
                <w:noProof/>
              </w:rPr>
              <w:t>Le locataire peut être prioritaire en cours de bail dans deux hypothèses :</w:t>
            </w:r>
            <w:r>
              <w:rPr>
                <w:noProof/>
                <w:webHidden/>
              </w:rPr>
              <w:tab/>
            </w:r>
            <w:r>
              <w:rPr>
                <w:noProof/>
                <w:webHidden/>
              </w:rPr>
              <w:fldChar w:fldCharType="begin"/>
            </w:r>
            <w:r>
              <w:rPr>
                <w:noProof/>
                <w:webHidden/>
              </w:rPr>
              <w:instrText xml:space="preserve"> PAGEREF _Toc207203399 \h </w:instrText>
            </w:r>
            <w:r>
              <w:rPr>
                <w:noProof/>
                <w:webHidden/>
              </w:rPr>
            </w:r>
            <w:r>
              <w:rPr>
                <w:noProof/>
                <w:webHidden/>
              </w:rPr>
              <w:fldChar w:fldCharType="separate"/>
            </w:r>
            <w:r>
              <w:rPr>
                <w:noProof/>
                <w:webHidden/>
              </w:rPr>
              <w:t>11</w:t>
            </w:r>
            <w:r>
              <w:rPr>
                <w:noProof/>
                <w:webHidden/>
              </w:rPr>
              <w:fldChar w:fldCharType="end"/>
            </w:r>
          </w:hyperlink>
        </w:p>
        <w:p w14:paraId="6DE1DD43" w14:textId="542F4D05"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400" w:history="1">
            <w:r w:rsidRPr="00A03AAA">
              <w:rPr>
                <w:rStyle w:val="Lienhypertexte"/>
                <w:noProof/>
              </w:rPr>
              <w:t>2.</w:t>
            </w:r>
            <w:r>
              <w:rPr>
                <w:rFonts w:asciiTheme="minorHAnsi" w:eastAsiaTheme="minorEastAsia" w:hAnsiTheme="minorHAnsi"/>
                <w:noProof/>
                <w:kern w:val="2"/>
                <w:szCs w:val="24"/>
                <w:lang w:val="en-US"/>
                <w14:ligatures w14:val="standardContextual"/>
              </w:rPr>
              <w:tab/>
            </w:r>
            <w:r w:rsidRPr="00A03AAA">
              <w:rPr>
                <w:rStyle w:val="Lienhypertexte"/>
                <w:noProof/>
              </w:rPr>
              <w:t>Les limites du droit de préemption</w:t>
            </w:r>
            <w:r>
              <w:rPr>
                <w:noProof/>
                <w:webHidden/>
              </w:rPr>
              <w:tab/>
            </w:r>
            <w:r>
              <w:rPr>
                <w:noProof/>
                <w:webHidden/>
              </w:rPr>
              <w:fldChar w:fldCharType="begin"/>
            </w:r>
            <w:r>
              <w:rPr>
                <w:noProof/>
                <w:webHidden/>
              </w:rPr>
              <w:instrText xml:space="preserve"> PAGEREF _Toc207203400 \h </w:instrText>
            </w:r>
            <w:r>
              <w:rPr>
                <w:noProof/>
                <w:webHidden/>
              </w:rPr>
            </w:r>
            <w:r>
              <w:rPr>
                <w:noProof/>
                <w:webHidden/>
              </w:rPr>
              <w:fldChar w:fldCharType="separate"/>
            </w:r>
            <w:r>
              <w:rPr>
                <w:noProof/>
                <w:webHidden/>
              </w:rPr>
              <w:t>12</w:t>
            </w:r>
            <w:r>
              <w:rPr>
                <w:noProof/>
                <w:webHidden/>
              </w:rPr>
              <w:fldChar w:fldCharType="end"/>
            </w:r>
          </w:hyperlink>
        </w:p>
        <w:p w14:paraId="0CF2484E" w14:textId="6E7809CB" w:rsidR="00196F86" w:rsidRDefault="00196F86">
          <w:pPr>
            <w:pStyle w:val="TM3"/>
            <w:rPr>
              <w:rFonts w:asciiTheme="minorHAnsi" w:eastAsiaTheme="minorEastAsia" w:hAnsiTheme="minorHAnsi"/>
              <w:noProof/>
              <w:kern w:val="2"/>
              <w:szCs w:val="24"/>
              <w:lang w:val="en-US"/>
              <w14:ligatures w14:val="standardContextual"/>
            </w:rPr>
          </w:pPr>
          <w:hyperlink w:anchor="_Toc207203401" w:history="1">
            <w:r w:rsidRPr="00A03AAA">
              <w:rPr>
                <w:rStyle w:val="Lienhypertexte"/>
                <w:noProof/>
              </w:rPr>
              <w:t>A.</w:t>
            </w:r>
            <w:r>
              <w:rPr>
                <w:rFonts w:asciiTheme="minorHAnsi" w:eastAsiaTheme="minorEastAsia" w:hAnsiTheme="minorHAnsi"/>
                <w:noProof/>
                <w:kern w:val="2"/>
                <w:szCs w:val="24"/>
                <w:lang w:val="en-US"/>
                <w14:ligatures w14:val="standardContextual"/>
              </w:rPr>
              <w:tab/>
            </w:r>
            <w:r w:rsidRPr="00A03AAA">
              <w:rPr>
                <w:rStyle w:val="Lienhypertexte"/>
                <w:noProof/>
              </w:rPr>
              <w:t>En cas de vente entre personnes d’une même famille:</w:t>
            </w:r>
            <w:r>
              <w:rPr>
                <w:noProof/>
                <w:webHidden/>
              </w:rPr>
              <w:tab/>
            </w:r>
            <w:r>
              <w:rPr>
                <w:noProof/>
                <w:webHidden/>
              </w:rPr>
              <w:fldChar w:fldCharType="begin"/>
            </w:r>
            <w:r>
              <w:rPr>
                <w:noProof/>
                <w:webHidden/>
              </w:rPr>
              <w:instrText xml:space="preserve"> PAGEREF _Toc207203401 \h </w:instrText>
            </w:r>
            <w:r>
              <w:rPr>
                <w:noProof/>
                <w:webHidden/>
              </w:rPr>
            </w:r>
            <w:r>
              <w:rPr>
                <w:noProof/>
                <w:webHidden/>
              </w:rPr>
              <w:fldChar w:fldCharType="separate"/>
            </w:r>
            <w:r>
              <w:rPr>
                <w:noProof/>
                <w:webHidden/>
              </w:rPr>
              <w:t>12</w:t>
            </w:r>
            <w:r>
              <w:rPr>
                <w:noProof/>
                <w:webHidden/>
              </w:rPr>
              <w:fldChar w:fldCharType="end"/>
            </w:r>
          </w:hyperlink>
        </w:p>
        <w:p w14:paraId="45CCA0A4" w14:textId="79CC3957" w:rsidR="00196F86" w:rsidRDefault="00196F86">
          <w:pPr>
            <w:pStyle w:val="TM3"/>
            <w:rPr>
              <w:rFonts w:asciiTheme="minorHAnsi" w:eastAsiaTheme="minorEastAsia" w:hAnsiTheme="minorHAnsi"/>
              <w:noProof/>
              <w:kern w:val="2"/>
              <w:szCs w:val="24"/>
              <w:lang w:val="en-US"/>
              <w14:ligatures w14:val="standardContextual"/>
            </w:rPr>
          </w:pPr>
          <w:hyperlink w:anchor="_Toc207203402" w:history="1">
            <w:r w:rsidRPr="00A03AAA">
              <w:rPr>
                <w:rStyle w:val="Lienhypertexte"/>
                <w:noProof/>
              </w:rPr>
              <w:t>B.</w:t>
            </w:r>
            <w:r>
              <w:rPr>
                <w:rFonts w:asciiTheme="minorHAnsi" w:eastAsiaTheme="minorEastAsia" w:hAnsiTheme="minorHAnsi"/>
                <w:noProof/>
                <w:kern w:val="2"/>
                <w:szCs w:val="24"/>
                <w:lang w:val="en-US"/>
                <w14:ligatures w14:val="standardContextual"/>
              </w:rPr>
              <w:tab/>
            </w:r>
            <w:r w:rsidRPr="00A03AAA">
              <w:rPr>
                <w:rStyle w:val="Lienhypertexte"/>
                <w:noProof/>
              </w:rPr>
              <w:t>En cas d’immeuble vétuste:</w:t>
            </w:r>
            <w:r>
              <w:rPr>
                <w:noProof/>
                <w:webHidden/>
              </w:rPr>
              <w:tab/>
            </w:r>
            <w:r>
              <w:rPr>
                <w:noProof/>
                <w:webHidden/>
              </w:rPr>
              <w:fldChar w:fldCharType="begin"/>
            </w:r>
            <w:r>
              <w:rPr>
                <w:noProof/>
                <w:webHidden/>
              </w:rPr>
              <w:instrText xml:space="preserve"> PAGEREF _Toc207203402 \h </w:instrText>
            </w:r>
            <w:r>
              <w:rPr>
                <w:noProof/>
                <w:webHidden/>
              </w:rPr>
            </w:r>
            <w:r>
              <w:rPr>
                <w:noProof/>
                <w:webHidden/>
              </w:rPr>
              <w:fldChar w:fldCharType="separate"/>
            </w:r>
            <w:r>
              <w:rPr>
                <w:noProof/>
                <w:webHidden/>
              </w:rPr>
              <w:t>12</w:t>
            </w:r>
            <w:r>
              <w:rPr>
                <w:noProof/>
                <w:webHidden/>
              </w:rPr>
              <w:fldChar w:fldCharType="end"/>
            </w:r>
          </w:hyperlink>
        </w:p>
        <w:p w14:paraId="563B9848" w14:textId="3DA19153" w:rsidR="00196F86" w:rsidRDefault="00196F86">
          <w:pPr>
            <w:pStyle w:val="TM3"/>
            <w:rPr>
              <w:rFonts w:asciiTheme="minorHAnsi" w:eastAsiaTheme="minorEastAsia" w:hAnsiTheme="minorHAnsi"/>
              <w:noProof/>
              <w:kern w:val="2"/>
              <w:szCs w:val="24"/>
              <w:lang w:val="en-US"/>
              <w14:ligatures w14:val="standardContextual"/>
            </w:rPr>
          </w:pPr>
          <w:hyperlink w:anchor="_Toc207203403" w:history="1">
            <w:r w:rsidRPr="00A03AAA">
              <w:rPr>
                <w:rStyle w:val="Lienhypertexte"/>
                <w:noProof/>
              </w:rPr>
              <w:t>C.</w:t>
            </w:r>
            <w:r>
              <w:rPr>
                <w:rFonts w:asciiTheme="minorHAnsi" w:eastAsiaTheme="minorEastAsia" w:hAnsiTheme="minorHAnsi"/>
                <w:noProof/>
                <w:kern w:val="2"/>
                <w:szCs w:val="24"/>
                <w:lang w:val="en-US"/>
                <w14:ligatures w14:val="standardContextual"/>
              </w:rPr>
              <w:tab/>
            </w:r>
            <w:r w:rsidRPr="00A03AAA">
              <w:rPr>
                <w:rStyle w:val="Lienhypertexte"/>
                <w:noProof/>
              </w:rPr>
              <w:t>En cas de location meublée ou de courte durée:</w:t>
            </w:r>
            <w:r>
              <w:rPr>
                <w:noProof/>
                <w:webHidden/>
              </w:rPr>
              <w:tab/>
            </w:r>
            <w:r>
              <w:rPr>
                <w:noProof/>
                <w:webHidden/>
              </w:rPr>
              <w:fldChar w:fldCharType="begin"/>
            </w:r>
            <w:r>
              <w:rPr>
                <w:noProof/>
                <w:webHidden/>
              </w:rPr>
              <w:instrText xml:space="preserve"> PAGEREF _Toc207203403 \h </w:instrText>
            </w:r>
            <w:r>
              <w:rPr>
                <w:noProof/>
                <w:webHidden/>
              </w:rPr>
            </w:r>
            <w:r>
              <w:rPr>
                <w:noProof/>
                <w:webHidden/>
              </w:rPr>
              <w:fldChar w:fldCharType="separate"/>
            </w:r>
            <w:r>
              <w:rPr>
                <w:noProof/>
                <w:webHidden/>
              </w:rPr>
              <w:t>12</w:t>
            </w:r>
            <w:r>
              <w:rPr>
                <w:noProof/>
                <w:webHidden/>
              </w:rPr>
              <w:fldChar w:fldCharType="end"/>
            </w:r>
          </w:hyperlink>
        </w:p>
        <w:p w14:paraId="474DE0CA" w14:textId="105F5198" w:rsidR="00196F86" w:rsidRDefault="00196F86">
          <w:pPr>
            <w:pStyle w:val="TM1"/>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404" w:history="1">
            <w:r w:rsidRPr="00A03AAA">
              <w:rPr>
                <w:rStyle w:val="Lienhypertexte"/>
                <w:noProof/>
              </w:rPr>
              <w:t>III.</w:t>
            </w:r>
            <w:r>
              <w:rPr>
                <w:rFonts w:asciiTheme="minorHAnsi" w:eastAsiaTheme="minorEastAsia" w:hAnsiTheme="minorHAnsi"/>
                <w:noProof/>
                <w:kern w:val="2"/>
                <w:szCs w:val="24"/>
                <w:lang w:val="en-US"/>
                <w14:ligatures w14:val="standardContextual"/>
              </w:rPr>
              <w:tab/>
            </w:r>
            <w:r w:rsidRPr="00A03AAA">
              <w:rPr>
                <w:rStyle w:val="Lienhypertexte"/>
                <w:noProof/>
              </w:rPr>
              <w:t>Les plus-values immobilières d’un bien démembré</w:t>
            </w:r>
            <w:r>
              <w:rPr>
                <w:noProof/>
                <w:webHidden/>
              </w:rPr>
              <w:tab/>
            </w:r>
            <w:r>
              <w:rPr>
                <w:noProof/>
                <w:webHidden/>
              </w:rPr>
              <w:fldChar w:fldCharType="begin"/>
            </w:r>
            <w:r>
              <w:rPr>
                <w:noProof/>
                <w:webHidden/>
              </w:rPr>
              <w:instrText xml:space="preserve"> PAGEREF _Toc207203404 \h </w:instrText>
            </w:r>
            <w:r>
              <w:rPr>
                <w:noProof/>
                <w:webHidden/>
              </w:rPr>
            </w:r>
            <w:r>
              <w:rPr>
                <w:noProof/>
                <w:webHidden/>
              </w:rPr>
              <w:fldChar w:fldCharType="separate"/>
            </w:r>
            <w:r>
              <w:rPr>
                <w:noProof/>
                <w:webHidden/>
              </w:rPr>
              <w:t>13</w:t>
            </w:r>
            <w:r>
              <w:rPr>
                <w:noProof/>
                <w:webHidden/>
              </w:rPr>
              <w:fldChar w:fldCharType="end"/>
            </w:r>
          </w:hyperlink>
        </w:p>
        <w:p w14:paraId="11B58F09" w14:textId="642C24F0"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405" w:history="1">
            <w:r w:rsidRPr="00A03AAA">
              <w:rPr>
                <w:rStyle w:val="Lienhypertexte"/>
                <w:noProof/>
              </w:rPr>
              <w:t>3.</w:t>
            </w:r>
            <w:r>
              <w:rPr>
                <w:rFonts w:asciiTheme="minorHAnsi" w:eastAsiaTheme="minorEastAsia" w:hAnsiTheme="minorHAnsi"/>
                <w:noProof/>
                <w:kern w:val="2"/>
                <w:szCs w:val="24"/>
                <w:lang w:val="en-US"/>
                <w14:ligatures w14:val="standardContextual"/>
              </w:rPr>
              <w:tab/>
            </w:r>
            <w:r w:rsidRPr="00A03AAA">
              <w:rPr>
                <w:rStyle w:val="Lienhypertexte"/>
                <w:noProof/>
              </w:rPr>
              <w:t>La cession isolée de l’usufruit et de la nue-propriété</w:t>
            </w:r>
            <w:r>
              <w:rPr>
                <w:noProof/>
                <w:webHidden/>
              </w:rPr>
              <w:tab/>
            </w:r>
            <w:r>
              <w:rPr>
                <w:noProof/>
                <w:webHidden/>
              </w:rPr>
              <w:fldChar w:fldCharType="begin"/>
            </w:r>
            <w:r>
              <w:rPr>
                <w:noProof/>
                <w:webHidden/>
              </w:rPr>
              <w:instrText xml:space="preserve"> PAGEREF _Toc207203405 \h </w:instrText>
            </w:r>
            <w:r>
              <w:rPr>
                <w:noProof/>
                <w:webHidden/>
              </w:rPr>
            </w:r>
            <w:r>
              <w:rPr>
                <w:noProof/>
                <w:webHidden/>
              </w:rPr>
              <w:fldChar w:fldCharType="separate"/>
            </w:r>
            <w:r>
              <w:rPr>
                <w:noProof/>
                <w:webHidden/>
              </w:rPr>
              <w:t>14</w:t>
            </w:r>
            <w:r>
              <w:rPr>
                <w:noProof/>
                <w:webHidden/>
              </w:rPr>
              <w:fldChar w:fldCharType="end"/>
            </w:r>
          </w:hyperlink>
        </w:p>
        <w:p w14:paraId="7D3D0416" w14:textId="55FA78F8"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406" w:history="1">
            <w:r w:rsidRPr="00A03AAA">
              <w:rPr>
                <w:rStyle w:val="Lienhypertexte"/>
                <w:noProof/>
              </w:rPr>
              <w:t>4.</w:t>
            </w:r>
            <w:r>
              <w:rPr>
                <w:rFonts w:asciiTheme="minorHAnsi" w:eastAsiaTheme="minorEastAsia" w:hAnsiTheme="minorHAnsi"/>
                <w:noProof/>
                <w:kern w:val="2"/>
                <w:szCs w:val="24"/>
                <w:lang w:val="en-US"/>
                <w14:ligatures w14:val="standardContextual"/>
              </w:rPr>
              <w:tab/>
            </w:r>
            <w:r w:rsidRPr="00A03AAA">
              <w:rPr>
                <w:rStyle w:val="Lienhypertexte"/>
                <w:noProof/>
              </w:rPr>
              <w:t>La cession de la pleine propriété de l’immeuble dont l’usufruit et la nue-propriété appartiennent à deux personnes différentes</w:t>
            </w:r>
            <w:r>
              <w:rPr>
                <w:noProof/>
                <w:webHidden/>
              </w:rPr>
              <w:tab/>
            </w:r>
            <w:r>
              <w:rPr>
                <w:noProof/>
                <w:webHidden/>
              </w:rPr>
              <w:fldChar w:fldCharType="begin"/>
            </w:r>
            <w:r>
              <w:rPr>
                <w:noProof/>
                <w:webHidden/>
              </w:rPr>
              <w:instrText xml:space="preserve"> PAGEREF _Toc207203406 \h </w:instrText>
            </w:r>
            <w:r>
              <w:rPr>
                <w:noProof/>
                <w:webHidden/>
              </w:rPr>
            </w:r>
            <w:r>
              <w:rPr>
                <w:noProof/>
                <w:webHidden/>
              </w:rPr>
              <w:fldChar w:fldCharType="separate"/>
            </w:r>
            <w:r>
              <w:rPr>
                <w:noProof/>
                <w:webHidden/>
              </w:rPr>
              <w:t>15</w:t>
            </w:r>
            <w:r>
              <w:rPr>
                <w:noProof/>
                <w:webHidden/>
              </w:rPr>
              <w:fldChar w:fldCharType="end"/>
            </w:r>
          </w:hyperlink>
        </w:p>
        <w:p w14:paraId="28D2CC8F" w14:textId="5FFF0F9C" w:rsidR="00196F86" w:rsidRDefault="00196F86">
          <w:pPr>
            <w:pStyle w:val="TM2"/>
            <w:tabs>
              <w:tab w:val="left" w:pos="720"/>
              <w:tab w:val="right" w:leader="dot" w:pos="20921"/>
            </w:tabs>
            <w:rPr>
              <w:rFonts w:asciiTheme="minorHAnsi" w:eastAsiaTheme="minorEastAsia" w:hAnsiTheme="minorHAnsi"/>
              <w:noProof/>
              <w:kern w:val="2"/>
              <w:szCs w:val="24"/>
              <w:lang w:val="en-US"/>
              <w14:ligatures w14:val="standardContextual"/>
            </w:rPr>
          </w:pPr>
          <w:hyperlink w:anchor="_Toc207203407" w:history="1">
            <w:r w:rsidRPr="00A03AAA">
              <w:rPr>
                <w:rStyle w:val="Lienhypertexte"/>
                <w:noProof/>
              </w:rPr>
              <w:t>5.</w:t>
            </w:r>
            <w:r>
              <w:rPr>
                <w:rFonts w:asciiTheme="minorHAnsi" w:eastAsiaTheme="minorEastAsia" w:hAnsiTheme="minorHAnsi"/>
                <w:noProof/>
                <w:kern w:val="2"/>
                <w:szCs w:val="24"/>
                <w:lang w:val="en-US"/>
                <w14:ligatures w14:val="standardContextual"/>
              </w:rPr>
              <w:tab/>
            </w:r>
            <w:r w:rsidRPr="00A03AAA">
              <w:rPr>
                <w:rStyle w:val="Lienhypertexte"/>
                <w:noProof/>
              </w:rPr>
              <w:t>La cession de la pleine propriété de l’immeuble après réunion de la nue-propriété et de l’usufruit sur la tête du cédant</w:t>
            </w:r>
            <w:r>
              <w:rPr>
                <w:noProof/>
                <w:webHidden/>
              </w:rPr>
              <w:tab/>
            </w:r>
            <w:r>
              <w:rPr>
                <w:noProof/>
                <w:webHidden/>
              </w:rPr>
              <w:fldChar w:fldCharType="begin"/>
            </w:r>
            <w:r>
              <w:rPr>
                <w:noProof/>
                <w:webHidden/>
              </w:rPr>
              <w:instrText xml:space="preserve"> PAGEREF _Toc207203407 \h </w:instrText>
            </w:r>
            <w:r>
              <w:rPr>
                <w:noProof/>
                <w:webHidden/>
              </w:rPr>
            </w:r>
            <w:r>
              <w:rPr>
                <w:noProof/>
                <w:webHidden/>
              </w:rPr>
              <w:fldChar w:fldCharType="separate"/>
            </w:r>
            <w:r>
              <w:rPr>
                <w:noProof/>
                <w:webHidden/>
              </w:rPr>
              <w:t>15</w:t>
            </w:r>
            <w:r>
              <w:rPr>
                <w:noProof/>
                <w:webHidden/>
              </w:rPr>
              <w:fldChar w:fldCharType="end"/>
            </w:r>
          </w:hyperlink>
        </w:p>
        <w:p w14:paraId="76D52D41" w14:textId="39FE5A7F" w:rsidR="00B8067C" w:rsidRDefault="008F0E8E">
          <w:r>
            <w:fldChar w:fldCharType="end"/>
          </w:r>
        </w:p>
      </w:sdtContent>
    </w:sdt>
    <w:p w14:paraId="6B1CDAD7" w14:textId="16652438" w:rsidR="000E46A3" w:rsidRPr="006134D8" w:rsidRDefault="00B42117" w:rsidP="00AC08C0">
      <w:pPr>
        <w:pStyle w:val="CGPC-elearning"/>
      </w:pPr>
      <w:r>
        <w:rPr>
          <w:color w:val="2F5496" w:themeColor="accent1" w:themeShade="BF"/>
          <w:lang w:eastAsia="fr-FR"/>
        </w:rPr>
        <w:br w:type="page"/>
      </w:r>
    </w:p>
    <w:p w14:paraId="1A09774F" w14:textId="77777777" w:rsidR="00E46C58" w:rsidRDefault="00E46C58" w:rsidP="00715252">
      <w:pPr>
        <w:pStyle w:val="Titre2"/>
        <w:sectPr w:rsidR="00E46C58" w:rsidSect="00F5519A">
          <w:type w:val="continuous"/>
          <w:pgSz w:w="23811" w:h="16838" w:orient="landscape" w:code="8"/>
          <w:pgMar w:top="1440" w:right="1440" w:bottom="1440" w:left="1440" w:header="720" w:footer="720" w:gutter="0"/>
          <w:pgNumType w:start="0"/>
          <w:cols w:space="720"/>
          <w:titlePg/>
          <w:docGrid w:linePitch="360"/>
        </w:sectPr>
      </w:pPr>
    </w:p>
    <w:p w14:paraId="7B589FD7" w14:textId="795FCCD4" w:rsidR="00884973" w:rsidRDefault="00365D35" w:rsidP="00884973">
      <w:r>
        <w:rPr>
          <w:noProof/>
          <w14:ligatures w14:val="standardContextual"/>
        </w:rPr>
        <w:lastRenderedPageBreak/>
        <mc:AlternateContent>
          <mc:Choice Requires="wps">
            <w:drawing>
              <wp:anchor distT="0" distB="0" distL="114300" distR="114300" simplePos="0" relativeHeight="251660288" behindDoc="1" locked="0" layoutInCell="1" allowOverlap="1" wp14:anchorId="6B41DDFE" wp14:editId="465E77E3">
                <wp:simplePos x="0" y="0"/>
                <wp:positionH relativeFrom="column">
                  <wp:posOffset>-900752</wp:posOffset>
                </wp:positionH>
                <wp:positionV relativeFrom="paragraph">
                  <wp:posOffset>-54354</wp:posOffset>
                </wp:positionV>
                <wp:extent cx="15297150" cy="8652680"/>
                <wp:effectExtent l="0" t="0" r="19050" b="15240"/>
                <wp:wrapNone/>
                <wp:docPr id="213347093" name="Rectangle 4"/>
                <wp:cNvGraphicFramePr/>
                <a:graphic xmlns:a="http://schemas.openxmlformats.org/drawingml/2006/main">
                  <a:graphicData uri="http://schemas.microsoft.com/office/word/2010/wordprocessingShape">
                    <wps:wsp>
                      <wps:cNvSpPr/>
                      <wps:spPr>
                        <a:xfrm>
                          <a:off x="0" y="0"/>
                          <a:ext cx="15297150" cy="86526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E887B3" id="Rectangle 4" o:spid="_x0000_s1026" style="position:absolute;margin-left:-70.95pt;margin-top:-4.3pt;width:1204.5pt;height:681.3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" fillcolor="#4472c4 [3204]" strokecolor="#09101d [484]" strokeweight="1pt"/>
            </w:pict>
          </mc:Fallback>
        </mc:AlternateContent>
      </w:r>
    </w:p>
    <w:p w14:paraId="1757FCD3" w14:textId="77777777" w:rsidR="00884973" w:rsidRDefault="00884973" w:rsidP="00884973"/>
    <w:p w14:paraId="5FD0D79C" w14:textId="77777777" w:rsidR="00884973" w:rsidRDefault="00884973" w:rsidP="00884973"/>
    <w:p w14:paraId="1B12FE5B" w14:textId="3C1E9D6E" w:rsidR="00884973" w:rsidRDefault="00884973" w:rsidP="007F0724">
      <w:pPr>
        <w:tabs>
          <w:tab w:val="left" w:pos="1461"/>
        </w:tabs>
      </w:pPr>
    </w:p>
    <w:p w14:paraId="29445EA5" w14:textId="77777777" w:rsidR="00884973" w:rsidRDefault="00884973" w:rsidP="00884973"/>
    <w:p w14:paraId="0C584F1C" w14:textId="77777777" w:rsidR="00884973" w:rsidRDefault="00884973" w:rsidP="00884973"/>
    <w:p w14:paraId="4779E3C5" w14:textId="77777777" w:rsidR="00884973" w:rsidRDefault="00884973" w:rsidP="00884973"/>
    <w:p w14:paraId="3AEDF093" w14:textId="77777777" w:rsidR="00884973" w:rsidRDefault="00884973" w:rsidP="00884973"/>
    <w:p w14:paraId="2476BA32" w14:textId="77777777" w:rsidR="00884973" w:rsidRDefault="00884973" w:rsidP="00884973"/>
    <w:p w14:paraId="02535956" w14:textId="77777777" w:rsidR="00884973" w:rsidRDefault="00884973" w:rsidP="00884973"/>
    <w:p w14:paraId="411CCF3F" w14:textId="79D1D7DE" w:rsidR="00F5519A" w:rsidRPr="00884973" w:rsidRDefault="00867D8F" w:rsidP="00365D35">
      <w:pPr>
        <w:pStyle w:val="Titre1"/>
      </w:pPr>
      <w:bookmarkStart w:id="0" w:name="_Toc207203383"/>
      <w:r w:rsidRPr="00884973">
        <w:t>Plus-values immobilières : champ d’application et exonérations</w:t>
      </w:r>
      <w:bookmarkEnd w:id="0"/>
    </w:p>
    <w:p w14:paraId="28BB0BAE" w14:textId="49D50968" w:rsidR="00867D8F" w:rsidRPr="00F5519A" w:rsidRDefault="00F5519A" w:rsidP="00F5519A">
      <w:pPr>
        <w:pStyle w:val="CGPC-elearning"/>
        <w:rPr>
          <w:rFonts w:eastAsiaTheme="majorEastAsia"/>
          <w:color w:val="3A5D9C"/>
          <w:sz w:val="44"/>
          <w:szCs w:val="26"/>
          <w:bdr w:val="none" w:sz="0" w:space="0" w:color="auto" w:frame="1"/>
        </w:rPr>
      </w:pPr>
      <w:r>
        <w:br w:type="page"/>
      </w:r>
    </w:p>
    <w:p w14:paraId="18640696" w14:textId="3BAF2BC7" w:rsidR="00867D8F" w:rsidRDefault="00867D8F" w:rsidP="00F5519A">
      <w:pPr>
        <w:rPr>
          <w:rFonts w:cs="Open Sans"/>
          <w:color w:val="666666"/>
          <w:sz w:val="21"/>
          <w:szCs w:val="21"/>
        </w:rPr>
      </w:pPr>
      <w:r w:rsidRPr="00097A69">
        <w:lastRenderedPageBreak/>
        <w:t> </w:t>
      </w:r>
    </w:p>
    <w:p w14:paraId="2C699F0E" w14:textId="77777777" w:rsidR="00867D8F" w:rsidRDefault="00867D8F" w:rsidP="00715252">
      <w:pPr>
        <w:pStyle w:val="Titre2"/>
      </w:pPr>
      <w:bookmarkStart w:id="1" w:name="_Toc207203384"/>
      <w:r>
        <w:t>Définition</w:t>
      </w:r>
      <w:bookmarkEnd w:id="1"/>
    </w:p>
    <w:p w14:paraId="6B07A9A2" w14:textId="77777777" w:rsidR="00867D8F" w:rsidRPr="00097A69" w:rsidRDefault="00867D8F" w:rsidP="00097A69">
      <w:pPr>
        <w:pStyle w:val="CGPC-elearning"/>
      </w:pPr>
      <w:r w:rsidRPr="00097A69">
        <w:t>Sont considérées comme des plus -values immobilières, les gains réalisés sur les cessions à titre onéreux des biens ou droits immobiliers  par un particulier domicilié en France dans le cadre de la gestion privé de son patrimoine .</w:t>
      </w:r>
    </w:p>
    <w:p w14:paraId="2003ABFB" w14:textId="77777777" w:rsidR="00867D8F" w:rsidRPr="00097A69" w:rsidRDefault="00867D8F" w:rsidP="00097A69">
      <w:pPr>
        <w:pStyle w:val="CGPC-elearning"/>
      </w:pPr>
      <w:r w:rsidRPr="00097A69">
        <w:t>Les opérations imposables sont les cessions à titre onéreux (vente, échange) qui concernent</w:t>
      </w:r>
    </w:p>
    <w:p w14:paraId="47E98709" w14:textId="77777777" w:rsidR="00867D8F" w:rsidRPr="00097A69" w:rsidRDefault="00867D8F" w:rsidP="00097A69">
      <w:pPr>
        <w:pStyle w:val="CGPC-elearning"/>
      </w:pPr>
      <w:r w:rsidRPr="00097A69">
        <w:t>Les biens immobiliers bâtis ou non bâtis ou les droits réels immobiliers (usufruit)</w:t>
      </w:r>
    </w:p>
    <w:p w14:paraId="64EE4FB7" w14:textId="77777777" w:rsidR="00867D8F" w:rsidRPr="00097A69" w:rsidRDefault="00867D8F" w:rsidP="00097A69">
      <w:pPr>
        <w:pStyle w:val="CGPC-elearning"/>
      </w:pPr>
      <w:r w:rsidRPr="00097A69">
        <w:t>Les titres de sociétés (SCI), non soumises à l’IS et au groupement à prépondérance immobilière (FPI).</w:t>
      </w:r>
    </w:p>
    <w:p w14:paraId="25750B74" w14:textId="77777777" w:rsidR="00867D8F" w:rsidRPr="00097A69" w:rsidRDefault="00867D8F" w:rsidP="00097A69">
      <w:pPr>
        <w:pStyle w:val="CGPC-elearning"/>
      </w:pPr>
      <w:r w:rsidRPr="00097A69">
        <w:t>Les plus-values  immobilières sont soumises à l’impôt sur le revenu à un taux proportionnel de 19%, majoré des prélèvements sociaux.</w:t>
      </w:r>
    </w:p>
    <w:p w14:paraId="777BF1CB" w14:textId="77777777" w:rsidR="00867D8F" w:rsidRPr="005F4529" w:rsidRDefault="00867D8F" w:rsidP="00715252">
      <w:pPr>
        <w:pStyle w:val="Titre2"/>
      </w:pPr>
      <w:r w:rsidRPr="005F4529">
        <w:t> </w:t>
      </w:r>
      <w:bookmarkStart w:id="2" w:name="_Toc207203385"/>
      <w:r w:rsidRPr="005F4529">
        <w:t>Personnes imposables</w:t>
      </w:r>
      <w:bookmarkEnd w:id="2"/>
    </w:p>
    <w:p w14:paraId="68F7FB45" w14:textId="77777777" w:rsidR="00867D8F" w:rsidRPr="00097A69" w:rsidRDefault="00867D8F" w:rsidP="002005BB">
      <w:pPr>
        <w:pStyle w:val="CGPC-elearning"/>
      </w:pPr>
      <w:r w:rsidRPr="00097A69">
        <w:t xml:space="preserve">Le régime des plus-values immobilières privées s’applique  aux </w:t>
      </w:r>
      <w:proofErr w:type="spellStart"/>
      <w:r w:rsidRPr="00097A69">
        <w:t>plus values</w:t>
      </w:r>
      <w:proofErr w:type="spellEnd"/>
      <w:r w:rsidRPr="00097A69">
        <w:t xml:space="preserve"> réalisées par les personnes physiques dans le cadre de la gestion de son patrimoine privé soit directement soit au travers de sociétés de personne relevant de l’impôt sur le revenu (à proportion de ses parts dans la société) ou de fonds de placement dans l’immobilier (FPI)</w:t>
      </w:r>
    </w:p>
    <w:p w14:paraId="2A2BFD05" w14:textId="77777777" w:rsidR="00867D8F" w:rsidRPr="005F4529" w:rsidRDefault="00867D8F" w:rsidP="002005BB">
      <w:pPr>
        <w:pStyle w:val="CGPC-elearning"/>
        <w:rPr>
          <w:b/>
          <w:u w:val="single"/>
        </w:rPr>
      </w:pPr>
      <w:r w:rsidRPr="005F4529">
        <w:rPr>
          <w:b/>
          <w:u w:val="single"/>
        </w:rPr>
        <w:t>Précisions concernant le lieu de résidence des cédants et la localisation de l’immeuble</w:t>
      </w:r>
    </w:p>
    <w:p w14:paraId="74967A69" w14:textId="77777777" w:rsidR="00867D8F" w:rsidRPr="005F4529" w:rsidRDefault="00867D8F" w:rsidP="002005BB">
      <w:pPr>
        <w:pStyle w:val="CGPC-elearning"/>
      </w:pPr>
      <w:r w:rsidRPr="005F4529">
        <w:t>Les personnes domiciliées en France sont imposées sur les plus-values réalisées au titre des cessions de biens immobiliers situés en France.</w:t>
      </w:r>
    </w:p>
    <w:p w14:paraId="4BE306EE" w14:textId="77777777" w:rsidR="00867D8F" w:rsidRPr="005F4529" w:rsidRDefault="00867D8F" w:rsidP="002005BB">
      <w:pPr>
        <w:pStyle w:val="CGPC-elearning"/>
      </w:pPr>
      <w:r w:rsidRPr="005F4529">
        <w:t>Les plus-values réalisées par un résident en France pour des cessions d’immeubles situés à l’étranger sont également imposables en France (sauf convention internationale).</w:t>
      </w:r>
    </w:p>
    <w:p w14:paraId="5F8DAACE" w14:textId="77777777" w:rsidR="00867D8F" w:rsidRPr="005F4529" w:rsidRDefault="00867D8F" w:rsidP="002005BB">
      <w:pPr>
        <w:pStyle w:val="CGPC-elearning"/>
      </w:pPr>
      <w:r w:rsidRPr="005F4529">
        <w:t>Enfin, il en va de même pour les plus-values réalisées par un cédant non domicilié en France pour les cessions de biens immobiliers situés en France. Des exonérations sont cependant prévues, sous conditions, pour les vendeurs qui ont été fiscalement domiciliés en France pendant au moins 2 ans avant la cession.</w:t>
      </w:r>
    </w:p>
    <w:p w14:paraId="58DE9293" w14:textId="77777777" w:rsidR="00867D8F" w:rsidRPr="005F4529" w:rsidRDefault="00867D8F" w:rsidP="005F4529">
      <w:r w:rsidRPr="005F4529">
        <w:t> </w:t>
      </w:r>
    </w:p>
    <w:p w14:paraId="6DAA0743" w14:textId="77777777" w:rsidR="00867D8F" w:rsidRDefault="00867D8F" w:rsidP="00715252">
      <w:pPr>
        <w:pStyle w:val="Titre2"/>
      </w:pPr>
      <w:bookmarkStart w:id="3" w:name="_Toc207203386"/>
      <w:r>
        <w:lastRenderedPageBreak/>
        <w:t>Opérations et biens imposables :</w:t>
      </w:r>
      <w:bookmarkEnd w:id="3"/>
    </w:p>
    <w:p w14:paraId="2EE58AD4" w14:textId="77777777" w:rsidR="00867D8F" w:rsidRPr="005F4529" w:rsidRDefault="00867D8F" w:rsidP="005F4529">
      <w:pPr>
        <w:pStyle w:val="CGPC-elearning"/>
      </w:pPr>
      <w:r w:rsidRPr="005F4529">
        <w:t>Sauf exonérations (voir ci-dessous) seules sont imposables les plus-values réalisées lors d’une cession à titre onéreux (vente, expropriation sans remploi de l’indemnité, échange).</w:t>
      </w:r>
    </w:p>
    <w:p w14:paraId="370BB9AA" w14:textId="77777777" w:rsidR="00867D8F" w:rsidRPr="005F4529" w:rsidRDefault="00867D8F" w:rsidP="005F4529">
      <w:pPr>
        <w:pStyle w:val="CGPC-elearning"/>
      </w:pPr>
      <w:r w:rsidRPr="005F4529">
        <w:t>Vente d’un bien immobilier (appartement, maison, terrain)</w:t>
      </w:r>
    </w:p>
    <w:p w14:paraId="57DE6FA5" w14:textId="77777777" w:rsidR="00867D8F" w:rsidRPr="005F4529" w:rsidRDefault="00867D8F" w:rsidP="005F4529">
      <w:pPr>
        <w:pStyle w:val="CGPC-elearning"/>
      </w:pPr>
      <w:r w:rsidRPr="005F4529">
        <w:t>Vente des droits attachés à un bien immobilier (</w:t>
      </w:r>
      <w:hyperlink r:id="rId17" w:history="1">
        <w:r w:rsidRPr="005F4529">
          <w:rPr>
            <w:rStyle w:val="Lienhypertexte"/>
          </w:rPr>
          <w:t>servitudes</w:t>
        </w:r>
      </w:hyperlink>
      <w:r w:rsidRPr="005F4529">
        <w:t> par exemple)</w:t>
      </w:r>
    </w:p>
    <w:p w14:paraId="0B6DF253" w14:textId="77777777" w:rsidR="00867D8F" w:rsidRPr="005F4529" w:rsidRDefault="00867D8F" w:rsidP="005F4529">
      <w:pPr>
        <w:pStyle w:val="CGPC-elearning"/>
      </w:pPr>
      <w:r w:rsidRPr="005F4529">
        <w:t>Pour les loueurs en meublé non professionnels (LMNP)</w:t>
      </w:r>
    </w:p>
    <w:p w14:paraId="13F6046A" w14:textId="77777777" w:rsidR="00867D8F" w:rsidRPr="005F4529" w:rsidRDefault="00867D8F" w:rsidP="005F4529">
      <w:pPr>
        <w:pStyle w:val="CGPC-elearning"/>
      </w:pPr>
      <w:r w:rsidRPr="005F4529">
        <w:t>Les plus-values réalisées lors de la cession de vos locaux d’habitation meublés sont imposées comme des plus-values privées.</w:t>
      </w:r>
    </w:p>
    <w:p w14:paraId="60141B11" w14:textId="77777777" w:rsidR="00867D8F" w:rsidRPr="005F4529" w:rsidRDefault="00867D8F" w:rsidP="005F4529">
      <w:pPr>
        <w:pStyle w:val="CGPC-elearning"/>
      </w:pPr>
      <w:r w:rsidRPr="005F4529">
        <w:t>Échange de biens, partage ou apport en société.</w:t>
      </w:r>
    </w:p>
    <w:p w14:paraId="7E5F3CBB" w14:textId="77777777" w:rsidR="00867D8F" w:rsidRPr="005F4529" w:rsidRDefault="00867D8F" w:rsidP="005F4529">
      <w:pPr>
        <w:pStyle w:val="CGPC-elearning"/>
      </w:pPr>
      <w:r w:rsidRPr="005F4529">
        <w:t>Vente par l’intermédiaire d’une société civile immobilière (non soumise à l’impôt sur les sociétés) ou d’un fonds de placement dans l’immobilier (FPI)</w:t>
      </w:r>
    </w:p>
    <w:p w14:paraId="5909BBD4" w14:textId="65732BCD" w:rsidR="00867D8F" w:rsidRPr="006E661D" w:rsidRDefault="00867D8F" w:rsidP="006E661D">
      <w:pPr>
        <w:pStyle w:val="CGPC-elearning"/>
      </w:pPr>
      <w:r w:rsidRPr="005F4529">
        <w:t>Ne sont donc pas imposables les plus-values résultant de donations (mutations à titre gratuit entre vifs) ou de successions (décès). Celles-ci font l’objet du régime d’imposition spécifique sur les transmissions à titre gratuit.</w:t>
      </w:r>
    </w:p>
    <w:p w14:paraId="6577896F" w14:textId="77777777"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r>
        <w:rPr>
          <w:rFonts w:ascii="Open Sans" w:hAnsi="Open Sans" w:cs="Open Sans"/>
          <w:color w:val="666666"/>
          <w:sz w:val="21"/>
          <w:szCs w:val="21"/>
        </w:rPr>
        <w:t> </w:t>
      </w:r>
    </w:p>
    <w:p w14:paraId="35E043DD" w14:textId="77777777" w:rsidR="00867D8F" w:rsidRPr="005F4529" w:rsidRDefault="00867D8F" w:rsidP="00715252">
      <w:pPr>
        <w:pStyle w:val="Titre2"/>
      </w:pPr>
      <w:bookmarkStart w:id="4" w:name="_Toc207203387"/>
      <w:r w:rsidRPr="005F4529">
        <w:t>Exonérations :</w:t>
      </w:r>
      <w:bookmarkEnd w:id="4"/>
    </w:p>
    <w:p w14:paraId="25409CEB" w14:textId="77777777" w:rsidR="00867D8F" w:rsidRDefault="00867D8F" w:rsidP="00715252">
      <w:pPr>
        <w:pStyle w:val="Titre3"/>
      </w:pPr>
      <w:bookmarkStart w:id="5" w:name="_Toc207203388"/>
      <w:r>
        <w:t>Exonérations liées à la nature du bien cédé</w:t>
      </w:r>
      <w:bookmarkEnd w:id="5"/>
    </w:p>
    <w:p w14:paraId="3AD098CC" w14:textId="77777777" w:rsidR="00867D8F" w:rsidRPr="005F4529" w:rsidRDefault="00867D8F" w:rsidP="005F4529">
      <w:pPr>
        <w:pStyle w:val="CGPC-elearning"/>
      </w:pPr>
      <w:r w:rsidRPr="005F4529">
        <w:t>Vente de la </w:t>
      </w:r>
      <w:hyperlink r:id="rId18" w:history="1">
        <w:r w:rsidRPr="005F4529">
          <w:rPr>
            <w:rStyle w:val="Lienhypertexte"/>
          </w:rPr>
          <w:t>résidence principale</w:t>
        </w:r>
      </w:hyperlink>
      <w:r w:rsidRPr="005F4529">
        <w:t> et dépendances (garages, aires de stationnement, cours, etc.)</w:t>
      </w:r>
    </w:p>
    <w:p w14:paraId="7F06F368" w14:textId="0BD929E8" w:rsidR="00867D8F" w:rsidRPr="005F4529" w:rsidRDefault="00867D8F" w:rsidP="005F4529">
      <w:pPr>
        <w:pStyle w:val="CGPC-elearning"/>
      </w:pPr>
      <w:r w:rsidRPr="005F4529">
        <w:t>Première vente d’un logement autre que la résidence principale, sous condition de remploi du prix de cession à l’acquisition ou construction d’un logement affecté à l’habitation principale dans un délai de 24 mois. De plus, l’intéressé ne doit pas avoir été propriétaire de sa résidence principale dans les quatre années précédant la cession</w:t>
      </w:r>
    </w:p>
    <w:p w14:paraId="48B4DB2F" w14:textId="77777777" w:rsidR="00867D8F" w:rsidRPr="005F4529" w:rsidRDefault="00867D8F" w:rsidP="005F4529">
      <w:pPr>
        <w:pStyle w:val="CGPC-elearning"/>
      </w:pPr>
      <w:r w:rsidRPr="005F4529">
        <w:t>Bien échangé dans le cadre de certaines opérations de remembrement</w:t>
      </w:r>
    </w:p>
    <w:p w14:paraId="5D498465" w14:textId="77777777" w:rsidR="00867D8F" w:rsidRPr="005F4529" w:rsidRDefault="00867D8F" w:rsidP="005F4529">
      <w:pPr>
        <w:pStyle w:val="CGPC-elearning"/>
      </w:pPr>
      <w:r w:rsidRPr="005F4529">
        <w:lastRenderedPageBreak/>
        <w:t>Bien dont le prix de vente ne dépasse pas 15 000 €</w:t>
      </w:r>
    </w:p>
    <w:p w14:paraId="212D518C" w14:textId="13C9B4C6" w:rsidR="00867D8F" w:rsidRPr="005F4529" w:rsidRDefault="00867D8F" w:rsidP="005F4529">
      <w:pPr>
        <w:pStyle w:val="CGPC-elearning"/>
      </w:pPr>
      <w:r w:rsidRPr="005F4529">
        <w:t>Bien détenu depuis plus de 30 an</w:t>
      </w:r>
      <w:r w:rsidR="0021163B">
        <w:t>s</w:t>
      </w:r>
    </w:p>
    <w:p w14:paraId="6C949C3A" w14:textId="77777777" w:rsidR="00867D8F" w:rsidRPr="005F4529" w:rsidRDefault="00867D8F" w:rsidP="005F4529">
      <w:pPr>
        <w:pStyle w:val="CGPC-elearning"/>
      </w:pPr>
      <w:r w:rsidRPr="005F4529">
        <w:t>Bien exproprié sous condition du remploi de l’intégralité de l’indemnité par l’acquisition, la construction la reconstruction ou l’agrandissement d’un ou de plusieurs immeubles dans un délai de 12 mois</w:t>
      </w:r>
    </w:p>
    <w:p w14:paraId="1C3A406E" w14:textId="77777777" w:rsidR="00867D8F" w:rsidRPr="005F4529" w:rsidRDefault="00867D8F" w:rsidP="005F4529">
      <w:pPr>
        <w:pStyle w:val="CGPC-elearning"/>
      </w:pPr>
      <w:r w:rsidRPr="005F4529">
        <w:t>Bien cédé par un particulier ayant exercé son droit de délaissement dans certaines conditions, sous réserve du remploi de l’intégralité du prix de cession par l’acquisition, la construction la reconstruction ou l’agrandissement d’un ou de plusieurs immeubles dans un délai de 12 mois</w:t>
      </w:r>
    </w:p>
    <w:p w14:paraId="01C66A0C" w14:textId="77777777" w:rsidR="00867D8F" w:rsidRPr="005F4529" w:rsidRDefault="00867D8F" w:rsidP="005F4529">
      <w:pPr>
        <w:pStyle w:val="CGPC-elearning"/>
      </w:pPr>
      <w:r w:rsidRPr="005F4529">
        <w:t> </w:t>
      </w:r>
    </w:p>
    <w:p w14:paraId="33DEF6AC" w14:textId="77777777" w:rsidR="00867D8F" w:rsidRPr="005F4529" w:rsidRDefault="00867D8F" w:rsidP="00715252">
      <w:pPr>
        <w:pStyle w:val="Titre3"/>
      </w:pPr>
      <w:bookmarkStart w:id="6" w:name="_Toc207203389"/>
      <w:r w:rsidRPr="005F4529">
        <w:t>Exonérations liés à la qualité du vendeur :</w:t>
      </w:r>
      <w:bookmarkEnd w:id="6"/>
    </w:p>
    <w:p w14:paraId="0BA9F3B0" w14:textId="77777777" w:rsidR="00867D8F" w:rsidRPr="005F4529" w:rsidRDefault="00867D8F" w:rsidP="005F4529">
      <w:pPr>
        <w:pStyle w:val="CGPC-elearning"/>
      </w:pPr>
      <w:r w:rsidRPr="005F4529">
        <w:t>Les loueurs en meublé professionnels bénéficient sous conditions d’une exonération totale</w:t>
      </w:r>
    </w:p>
    <w:p w14:paraId="11F67132" w14:textId="77777777" w:rsidR="00867D8F" w:rsidRPr="005F4529" w:rsidRDefault="00867D8F" w:rsidP="005F4529">
      <w:pPr>
        <w:pStyle w:val="CGPC-elearning"/>
      </w:pPr>
      <w:r w:rsidRPr="005F4529">
        <w:t>A condition que l’activité soit exercée depuis au moins cinq ans, et lorsque la moyenne des recettes tirées de la location au titre des exercices clos au cours des deux années civiles qui précèdent la date de clôture de l’exercice de réalisation de la plus-value n’excède pas le seuil de 90 000 € HT et d’une exonération partielle si ces mêmes recettes sont comprises entre 90 000 € HT et 126 000 € HT (art 151 septies du CGI).</w:t>
      </w:r>
    </w:p>
    <w:p w14:paraId="36613EDE" w14:textId="77777777" w:rsidR="00867D8F" w:rsidRPr="005F4529" w:rsidRDefault="00867D8F" w:rsidP="005F4529">
      <w:pPr>
        <w:pStyle w:val="CGPC-elearning"/>
      </w:pPr>
      <w:r w:rsidRPr="005F4529">
        <w:t>Si l’une de ces conditions n’est pas satisfaite, elles sont soumises au régime des plus et moins-values professionnelles à court ou long terme (art 39 duodecies du CGI)</w:t>
      </w:r>
    </w:p>
    <w:p w14:paraId="4BB58ADD" w14:textId="77B81513" w:rsidR="00867D8F" w:rsidRPr="005F4529" w:rsidRDefault="00867D8F" w:rsidP="005F4529">
      <w:pPr>
        <w:pStyle w:val="CGPC-elearning"/>
      </w:pPr>
      <w:r w:rsidRPr="005F4529">
        <w:t>Personne titulaire d’une pension de vieillesse ou d’une carte mobilité inclusion dont le revenu fiscal de référence ne dépasse pas </w:t>
      </w:r>
      <w:r w:rsidR="00621D7A">
        <w:t xml:space="preserve">un montant déterminé dans </w:t>
      </w:r>
      <w:bookmarkStart w:id="7" w:name="_Hlk196206082"/>
      <w:r w:rsidR="00621D7A">
        <w:t xml:space="preserve">le cadre de chaque loi de finances </w:t>
      </w:r>
    </w:p>
    <w:bookmarkEnd w:id="7"/>
    <w:p w14:paraId="0E9D0D51" w14:textId="4382444F" w:rsidR="00867D8F" w:rsidRPr="005F4529" w:rsidRDefault="00867D8F" w:rsidP="005F4529">
      <w:pPr>
        <w:pStyle w:val="CGPC-elearning"/>
      </w:pPr>
      <w:r w:rsidRPr="005F4529">
        <w:t xml:space="preserve">Personne résidant dans un établissement social ou médico-social d’accueil de personnes âgées ou d’adultes handicapés dont le revenu fiscal de référence ne dépasse pas  </w:t>
      </w:r>
      <w:r w:rsidR="00621D7A">
        <w:t>un montant déterminé dans le cadre de chaque loi de finances.</w:t>
      </w:r>
    </w:p>
    <w:p w14:paraId="3A14856A" w14:textId="77777777" w:rsidR="00867D8F" w:rsidRPr="005F4529" w:rsidRDefault="00867D8F" w:rsidP="005F4529">
      <w:pPr>
        <w:pStyle w:val="CGPC-elearning"/>
      </w:pPr>
      <w:r w:rsidRPr="005F4529">
        <w:t>Personne non résidente en France</w:t>
      </w:r>
    </w:p>
    <w:p w14:paraId="404EF4B2" w14:textId="77777777"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r>
        <w:rPr>
          <w:rFonts w:ascii="Open Sans" w:hAnsi="Open Sans" w:cs="Open Sans"/>
          <w:color w:val="666666"/>
          <w:sz w:val="21"/>
          <w:szCs w:val="21"/>
        </w:rPr>
        <w:t> </w:t>
      </w:r>
    </w:p>
    <w:p w14:paraId="300E2B8E" w14:textId="77777777" w:rsidR="00867D8F" w:rsidRDefault="00867D8F" w:rsidP="00715252">
      <w:pPr>
        <w:pStyle w:val="Titre2"/>
      </w:pPr>
      <w:bookmarkStart w:id="8" w:name="_Toc207203390"/>
      <w:r>
        <w:lastRenderedPageBreak/>
        <w:t>Calcul de la  plus-value brute :</w:t>
      </w:r>
      <w:bookmarkEnd w:id="8"/>
    </w:p>
    <w:p w14:paraId="2AA9A6BA" w14:textId="77777777" w:rsidR="00867D8F" w:rsidRDefault="00867D8F" w:rsidP="005A33D6">
      <w:pPr>
        <w:pStyle w:val="CGPC-elearning"/>
      </w:pPr>
      <w:r>
        <w:t>La plus-value  brute est égale à la </w:t>
      </w:r>
      <w:r>
        <w:rPr>
          <w:rStyle w:val="lev"/>
          <w:color w:val="666666"/>
          <w:sz w:val="21"/>
          <w:szCs w:val="21"/>
        </w:rPr>
        <w:t>différence entre le prix de cession et le prix d’acquisition</w:t>
      </w:r>
      <w:r>
        <w:t> de l’immeuble ou des droits immobiliers.</w:t>
      </w:r>
    </w:p>
    <w:p w14:paraId="496DF3A1" w14:textId="77777777" w:rsidR="00867D8F" w:rsidRDefault="00867D8F" w:rsidP="005A33D6">
      <w:pPr>
        <w:pStyle w:val="CGPC-elearning"/>
      </w:pPr>
      <w:r>
        <w:t>Elle est ainsi calculée :</w:t>
      </w:r>
    </w:p>
    <w:p w14:paraId="1A283AF6" w14:textId="77777777" w:rsidR="00867D8F" w:rsidRDefault="00867D8F" w:rsidP="005A33D6">
      <w:pPr>
        <w:pStyle w:val="CGPC-elearning"/>
      </w:pPr>
      <w:r>
        <w:rPr>
          <w:rStyle w:val="lev"/>
          <w:color w:val="666666"/>
          <w:sz w:val="21"/>
          <w:szCs w:val="21"/>
        </w:rPr>
        <w:t>prix de cession :</w:t>
      </w:r>
      <w:r>
        <w:t>c’est le prix réel, effectivement pratiqué, indiqué dans l’acte (à défaut, retenir la valeur vénale du bien) ; il peut être majoré des éventuelles indemnités payées au cédant, et diminué de la TVA et des frais engagés pour la vente (commissions diverses…) ;</w:t>
      </w:r>
    </w:p>
    <w:p w14:paraId="146AB02F" w14:textId="77777777" w:rsidR="00867D8F" w:rsidRDefault="00867D8F" w:rsidP="005A33D6">
      <w:pPr>
        <w:pStyle w:val="CGPC-elearning"/>
      </w:pPr>
      <w:r>
        <w:t> </w:t>
      </w:r>
    </w:p>
    <w:p w14:paraId="5BF5B31F" w14:textId="77777777" w:rsidR="00867D8F" w:rsidRDefault="00867D8F" w:rsidP="005A33D6">
      <w:pPr>
        <w:pStyle w:val="CGPC-elearning"/>
      </w:pPr>
      <w:r>
        <w:rPr>
          <w:rStyle w:val="lev"/>
          <w:color w:val="666666"/>
          <w:sz w:val="21"/>
          <w:szCs w:val="21"/>
        </w:rPr>
        <w:t>prix d’acquisition : </w:t>
      </w:r>
      <w:r>
        <w:t>c’est le prix effectivement acquitté par le cédant, tel que stipulé dans l’acte (ou valeur vénale si le bien cédé provient d’une succession ou d’une donation). À ce prix s’ajoutent :</w:t>
      </w:r>
    </w:p>
    <w:p w14:paraId="7BE58101" w14:textId="77777777" w:rsidR="00867D8F" w:rsidRDefault="00867D8F" w:rsidP="005A33D6">
      <w:pPr>
        <w:pStyle w:val="CGPC-elearning"/>
      </w:pPr>
      <w:r>
        <w:t>les frais d’acquisition (en l’absence de frais réels justifiés supérieurs, retenir le forfait de 7,5 % du prix d’acquisition),</w:t>
      </w:r>
    </w:p>
    <w:p w14:paraId="2E92EDEA" w14:textId="77777777" w:rsidR="00867D8F" w:rsidRDefault="00867D8F" w:rsidP="005A33D6">
      <w:pPr>
        <w:pStyle w:val="CGPC-elearning"/>
      </w:pPr>
      <w:r>
        <w:t>les dépenses diverses supportées par le vendeur et réalisées par une entreprise pour la construction, les réparations, les travaux d’amélioration… à la condition qu’elles n’aient pas déjà donné lieu à déduction fiscale dans le cadre de l’IR. Ces dépenses sont retenues :</w:t>
      </w:r>
    </w:p>
    <w:p w14:paraId="55BDE8DF" w14:textId="77777777" w:rsidR="00867D8F" w:rsidRDefault="00867D8F" w:rsidP="005A33D6">
      <w:pPr>
        <w:pStyle w:val="CGPC-elearning"/>
      </w:pPr>
      <w:r>
        <w:t>soit pour leur montant réel, avec justificatifs,</w:t>
      </w:r>
    </w:p>
    <w:p w14:paraId="79BEDE9C" w14:textId="541DDAAE" w:rsidR="00867D8F" w:rsidRDefault="00867D8F" w:rsidP="005A33D6">
      <w:pPr>
        <w:pStyle w:val="CGPC-elearning"/>
      </w:pPr>
      <w:r>
        <w:t>soit forfaitairement à hauteur de 15 % du prix d’acquisition à condition que l’immeuble bâti soit cédé plus de 5 ans après son acquisition ; dans ce cas aucun justificatif n’est demandé au cédant.</w:t>
      </w:r>
    </w:p>
    <w:p w14:paraId="2A6F0DEB" w14:textId="77777777" w:rsidR="00867D8F" w:rsidRDefault="00867D8F" w:rsidP="005A33D6">
      <w:pPr>
        <w:pStyle w:val="CGPC-elearning"/>
      </w:pPr>
      <w:r>
        <w:t>En règle générale, la détermination de la </w:t>
      </w:r>
      <w:proofErr w:type="spellStart"/>
      <w:r>
        <w:rPr>
          <w:u w:val="single"/>
          <w:bdr w:val="none" w:sz="0" w:space="0" w:color="auto" w:frame="1"/>
        </w:rPr>
        <w:t>plus value</w:t>
      </w:r>
      <w:proofErr w:type="spellEnd"/>
      <w:r>
        <w:rPr>
          <w:u w:val="single"/>
          <w:bdr w:val="none" w:sz="0" w:space="0" w:color="auto" w:frame="1"/>
        </w:rPr>
        <w:t xml:space="preserve"> brute</w:t>
      </w:r>
      <w:r>
        <w:t> est égale à la différence suivante :</w:t>
      </w:r>
    </w:p>
    <w:p w14:paraId="0175C4F8" w14:textId="77777777" w:rsidR="00867D8F" w:rsidRDefault="00867D8F" w:rsidP="005A33D6">
      <w:pPr>
        <w:pStyle w:val="CGPC-elearning"/>
      </w:pPr>
      <w:r>
        <w:t> </w:t>
      </w:r>
    </w:p>
    <w:p w14:paraId="1E121458" w14:textId="53314FF6" w:rsidR="00867D8F" w:rsidRDefault="00867D8F" w:rsidP="00867D8F">
      <w:pPr>
        <w:spacing w:line="0" w:lineRule="auto"/>
        <w:jc w:val="center"/>
        <w:textAlignment w:val="baseline"/>
        <w:rPr>
          <w:rFonts w:cs="Open Sans"/>
          <w:color w:val="666666"/>
          <w:sz w:val="21"/>
          <w:szCs w:val="21"/>
        </w:rPr>
      </w:pPr>
      <w:r>
        <w:rPr>
          <w:rFonts w:cs="Open Sans"/>
          <w:noProof/>
          <w:color w:val="666666"/>
          <w:sz w:val="21"/>
          <w:szCs w:val="21"/>
          <w:bdr w:val="none" w:sz="0" w:space="0" w:color="auto" w:frame="1"/>
        </w:rPr>
        <w:drawing>
          <wp:inline distT="0" distB="0" distL="0" distR="0" wp14:anchorId="19DB95BD" wp14:editId="7F0A8F88">
            <wp:extent cx="5695950" cy="1762125"/>
            <wp:effectExtent l="0" t="0" r="0" b="9525"/>
            <wp:docPr id="1370806916" name="Image 4"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06916" name="Image 4" descr="Une image contenant texte, capture d’écran, Police&#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5950" cy="1762125"/>
                    </a:xfrm>
                    <a:prstGeom prst="rect">
                      <a:avLst/>
                    </a:prstGeom>
                    <a:noFill/>
                    <a:ln>
                      <a:noFill/>
                    </a:ln>
                  </pic:spPr>
                </pic:pic>
              </a:graphicData>
            </a:graphic>
          </wp:inline>
        </w:drawing>
      </w:r>
    </w:p>
    <w:p w14:paraId="36A33AEE" w14:textId="77777777" w:rsidR="00867D8F" w:rsidRPr="005F4529" w:rsidRDefault="00867D8F" w:rsidP="005F4529">
      <w:r w:rsidRPr="005F4529">
        <w:t> </w:t>
      </w:r>
    </w:p>
    <w:p w14:paraId="2F187BF7" w14:textId="77777777" w:rsidR="00867D8F" w:rsidRDefault="00867D8F" w:rsidP="00715252">
      <w:pPr>
        <w:pStyle w:val="Titre2"/>
      </w:pPr>
      <w:bookmarkStart w:id="9" w:name="_Toc207203391"/>
      <w:r>
        <w:lastRenderedPageBreak/>
        <w:t>Calcul des plus-values imposable :</w:t>
      </w:r>
      <w:bookmarkEnd w:id="9"/>
    </w:p>
    <w:p w14:paraId="59587710" w14:textId="77777777" w:rsidR="00867D8F" w:rsidRPr="005F4529" w:rsidRDefault="00867D8F" w:rsidP="005F4529">
      <w:pPr>
        <w:pStyle w:val="CGPC-elearning"/>
      </w:pPr>
      <w:r w:rsidRPr="005F4529">
        <w:t xml:space="preserve">Lorsque l’immeuble cédé est détenu depuis plus de cinq ans, la </w:t>
      </w:r>
      <w:proofErr w:type="spellStart"/>
      <w:r w:rsidRPr="005F4529">
        <w:t>plus value</w:t>
      </w:r>
      <w:proofErr w:type="spellEnd"/>
      <w:r w:rsidRPr="005F4529">
        <w:t xml:space="preserve"> brute est diminuée d’un abattement pour </w:t>
      </w:r>
      <w:proofErr w:type="spellStart"/>
      <w:r w:rsidRPr="005F4529">
        <w:t>durée</w:t>
      </w:r>
      <w:proofErr w:type="spellEnd"/>
      <w:r w:rsidRPr="005F4529">
        <w:t xml:space="preserve"> de détention dont le montant diffère selon qu’il s’agisse de l’IR ou des prélèvements sociaux.</w:t>
      </w:r>
    </w:p>
    <w:p w14:paraId="31DC93D4" w14:textId="77777777" w:rsidR="00867D8F" w:rsidRDefault="00867D8F" w:rsidP="00715252">
      <w:pPr>
        <w:pStyle w:val="Titre3"/>
        <w:numPr>
          <w:ilvl w:val="0"/>
          <w:numId w:val="33"/>
        </w:numPr>
      </w:pPr>
      <w:bookmarkStart w:id="10" w:name="_Toc207203392"/>
      <w:r>
        <w:t xml:space="preserve">Abattement pour </w:t>
      </w:r>
      <w:proofErr w:type="spellStart"/>
      <w:r>
        <w:t>durée</w:t>
      </w:r>
      <w:proofErr w:type="spellEnd"/>
      <w:r>
        <w:t xml:space="preserve"> de détention</w:t>
      </w:r>
      <w:bookmarkEnd w:id="10"/>
    </w:p>
    <w:p w14:paraId="761FFEE2" w14:textId="77777777" w:rsidR="00867D8F" w:rsidRDefault="00867D8F" w:rsidP="005F4529">
      <w:pPr>
        <w:pStyle w:val="CGPC-elearning"/>
      </w:pPr>
      <w:r>
        <w:t xml:space="preserve">L’abattement s’applique </w:t>
      </w:r>
      <w:proofErr w:type="spellStart"/>
      <w:r>
        <w:t>quelque</w:t>
      </w:r>
      <w:proofErr w:type="spellEnd"/>
      <w:r>
        <w:t xml:space="preserve"> soit la nature de l’immeuble (bâtit ou non bâtit). Le taux et la cadence de l’abattement pour </w:t>
      </w:r>
      <w:proofErr w:type="spellStart"/>
      <w:r>
        <w:t>durée</w:t>
      </w:r>
      <w:proofErr w:type="spellEnd"/>
      <w:r>
        <w:t xml:space="preserve"> de détention n’est plus le même pour l’impôt sur le revenu et pour les prélèvements sociaux. Pour le calcul de la durée de détention, les délais de possession sont décomptés par période de 12 mois depuis la date d’acquisition jusqu’à la date de cession.</w:t>
      </w:r>
    </w:p>
    <w:tbl>
      <w:tblPr>
        <w:tblW w:w="21000" w:type="dxa"/>
        <w:tblBorders>
          <w:top w:val="single" w:sz="6" w:space="0" w:color="EEEEEE"/>
          <w:left w:val="single" w:sz="6" w:space="0" w:color="EEEEEE"/>
          <w:bottom w:val="single" w:sz="6" w:space="0" w:color="EEEEEE"/>
          <w:right w:val="single" w:sz="6" w:space="0" w:color="EEEEEE"/>
        </w:tblBorders>
        <w:tblCellMar>
          <w:top w:w="15" w:type="dxa"/>
          <w:left w:w="15" w:type="dxa"/>
          <w:bottom w:w="15" w:type="dxa"/>
          <w:right w:w="15" w:type="dxa"/>
        </w:tblCellMar>
        <w:tblLook w:val="04A0" w:firstRow="1" w:lastRow="0" w:firstColumn="1" w:lastColumn="0" w:noHBand="0" w:noVBand="1"/>
      </w:tblPr>
      <w:tblGrid>
        <w:gridCol w:w="9410"/>
        <w:gridCol w:w="5758"/>
        <w:gridCol w:w="5832"/>
      </w:tblGrid>
      <w:tr w:rsidR="00867D8F" w14:paraId="298C6011" w14:textId="77777777" w:rsidTr="00867D8F">
        <w:tc>
          <w:tcPr>
            <w:tcW w:w="2685" w:type="dxa"/>
            <w:tcBorders>
              <w:top w:val="single" w:sz="6" w:space="0" w:color="EEEEEE"/>
            </w:tcBorders>
            <w:tcMar>
              <w:top w:w="206" w:type="dxa"/>
              <w:left w:w="141" w:type="dxa"/>
              <w:bottom w:w="206" w:type="dxa"/>
              <w:right w:w="141" w:type="dxa"/>
            </w:tcMar>
            <w:vAlign w:val="center"/>
            <w:hideMark/>
          </w:tcPr>
          <w:p w14:paraId="44822042" w14:textId="77777777" w:rsidR="00867D8F" w:rsidRDefault="00867D8F" w:rsidP="005F4529">
            <w:pPr>
              <w:pStyle w:val="CGPC-elearning"/>
              <w:rPr>
                <w:rFonts w:ascii="Times New Roman" w:hAnsi="Times New Roman" w:cs="Times New Roman"/>
                <w:szCs w:val="24"/>
              </w:rPr>
            </w:pPr>
            <w:r>
              <w:rPr>
                <w:rStyle w:val="lev"/>
                <w:sz w:val="21"/>
                <w:szCs w:val="21"/>
              </w:rPr>
              <w:t>Durée de détention</w:t>
            </w:r>
          </w:p>
        </w:tc>
        <w:tc>
          <w:tcPr>
            <w:tcW w:w="2325" w:type="dxa"/>
            <w:tcBorders>
              <w:top w:val="single" w:sz="6" w:space="0" w:color="EEEEEE"/>
            </w:tcBorders>
            <w:tcMar>
              <w:top w:w="206" w:type="dxa"/>
              <w:left w:w="141" w:type="dxa"/>
              <w:bottom w:w="206" w:type="dxa"/>
              <w:right w:w="141" w:type="dxa"/>
            </w:tcMar>
            <w:vAlign w:val="center"/>
            <w:hideMark/>
          </w:tcPr>
          <w:p w14:paraId="4F1C5D11" w14:textId="77777777" w:rsidR="00867D8F" w:rsidRDefault="00867D8F" w:rsidP="005F4529">
            <w:pPr>
              <w:pStyle w:val="CGPC-elearning"/>
            </w:pPr>
            <w:r>
              <w:rPr>
                <w:rStyle w:val="lev"/>
                <w:sz w:val="21"/>
                <w:szCs w:val="21"/>
              </w:rPr>
              <w:t>Assiette pour</w:t>
            </w:r>
            <w:r>
              <w:rPr>
                <w:b/>
                <w:bdr w:val="none" w:sz="0" w:space="0" w:color="auto" w:frame="1"/>
              </w:rPr>
              <w:br/>
            </w:r>
            <w:r>
              <w:rPr>
                <w:rStyle w:val="lev"/>
                <w:sz w:val="21"/>
                <w:szCs w:val="21"/>
              </w:rPr>
              <w:t>l’impôt sur le revenu</w:t>
            </w:r>
          </w:p>
        </w:tc>
        <w:tc>
          <w:tcPr>
            <w:tcW w:w="2355" w:type="dxa"/>
            <w:tcBorders>
              <w:top w:val="single" w:sz="6" w:space="0" w:color="EEEEEE"/>
            </w:tcBorders>
            <w:tcMar>
              <w:top w:w="206" w:type="dxa"/>
              <w:left w:w="141" w:type="dxa"/>
              <w:bottom w:w="206" w:type="dxa"/>
              <w:right w:w="141" w:type="dxa"/>
            </w:tcMar>
            <w:vAlign w:val="center"/>
            <w:hideMark/>
          </w:tcPr>
          <w:p w14:paraId="0E2B2DE5" w14:textId="77777777" w:rsidR="00867D8F" w:rsidRDefault="00867D8F" w:rsidP="005F4529">
            <w:pPr>
              <w:pStyle w:val="CGPC-elearning"/>
            </w:pPr>
            <w:r>
              <w:rPr>
                <w:rStyle w:val="lev"/>
                <w:sz w:val="21"/>
                <w:szCs w:val="21"/>
              </w:rPr>
              <w:t>Assiette pour les prélèvements sociaux</w:t>
            </w:r>
          </w:p>
        </w:tc>
      </w:tr>
      <w:tr w:rsidR="00867D8F" w14:paraId="6C97801C" w14:textId="77777777" w:rsidTr="00867D8F">
        <w:tc>
          <w:tcPr>
            <w:tcW w:w="0" w:type="auto"/>
            <w:tcBorders>
              <w:top w:val="single" w:sz="6" w:space="0" w:color="EEEEEE"/>
            </w:tcBorders>
            <w:tcMar>
              <w:top w:w="206" w:type="dxa"/>
              <w:left w:w="141" w:type="dxa"/>
              <w:bottom w:w="206" w:type="dxa"/>
              <w:right w:w="141" w:type="dxa"/>
            </w:tcMar>
            <w:vAlign w:val="center"/>
            <w:hideMark/>
          </w:tcPr>
          <w:p w14:paraId="094E36A8" w14:textId="77777777" w:rsidR="00867D8F" w:rsidRDefault="00867D8F" w:rsidP="005F4529">
            <w:pPr>
              <w:pStyle w:val="CGPC-elearning"/>
            </w:pPr>
            <w:r>
              <w:t>moins de 6 ans</w:t>
            </w:r>
          </w:p>
        </w:tc>
        <w:tc>
          <w:tcPr>
            <w:tcW w:w="0" w:type="auto"/>
            <w:tcBorders>
              <w:top w:val="single" w:sz="6" w:space="0" w:color="EEEEEE"/>
            </w:tcBorders>
            <w:tcMar>
              <w:top w:w="206" w:type="dxa"/>
              <w:left w:w="141" w:type="dxa"/>
              <w:bottom w:w="206" w:type="dxa"/>
              <w:right w:w="141" w:type="dxa"/>
            </w:tcMar>
            <w:vAlign w:val="center"/>
            <w:hideMark/>
          </w:tcPr>
          <w:p w14:paraId="189393A4" w14:textId="77777777" w:rsidR="00867D8F" w:rsidRDefault="00867D8F" w:rsidP="005F4529">
            <w:pPr>
              <w:pStyle w:val="CGPC-elearning"/>
            </w:pPr>
            <w:r>
              <w:t>0 %</w:t>
            </w:r>
          </w:p>
        </w:tc>
        <w:tc>
          <w:tcPr>
            <w:tcW w:w="0" w:type="auto"/>
            <w:tcBorders>
              <w:top w:val="single" w:sz="6" w:space="0" w:color="EEEEEE"/>
            </w:tcBorders>
            <w:tcMar>
              <w:top w:w="206" w:type="dxa"/>
              <w:left w:w="141" w:type="dxa"/>
              <w:bottom w:w="206" w:type="dxa"/>
              <w:right w:w="141" w:type="dxa"/>
            </w:tcMar>
            <w:vAlign w:val="center"/>
            <w:hideMark/>
          </w:tcPr>
          <w:p w14:paraId="7093AE6D" w14:textId="77777777" w:rsidR="00867D8F" w:rsidRDefault="00867D8F" w:rsidP="005F4529">
            <w:pPr>
              <w:pStyle w:val="CGPC-elearning"/>
            </w:pPr>
            <w:r>
              <w:t>0 %</w:t>
            </w:r>
          </w:p>
        </w:tc>
      </w:tr>
      <w:tr w:rsidR="00867D8F" w14:paraId="40FC6897" w14:textId="77777777" w:rsidTr="00867D8F">
        <w:tc>
          <w:tcPr>
            <w:tcW w:w="0" w:type="auto"/>
            <w:tcBorders>
              <w:top w:val="single" w:sz="6" w:space="0" w:color="EEEEEE"/>
            </w:tcBorders>
            <w:tcMar>
              <w:top w:w="206" w:type="dxa"/>
              <w:left w:w="141" w:type="dxa"/>
              <w:bottom w:w="206" w:type="dxa"/>
              <w:right w:w="141" w:type="dxa"/>
            </w:tcMar>
            <w:vAlign w:val="center"/>
            <w:hideMark/>
          </w:tcPr>
          <w:p w14:paraId="0B1A9D66" w14:textId="77777777" w:rsidR="00867D8F" w:rsidRDefault="00867D8F" w:rsidP="005F4529">
            <w:pPr>
              <w:pStyle w:val="CGPC-elearning"/>
            </w:pPr>
            <w:r>
              <w:t>de la 6</w:t>
            </w:r>
            <w:r>
              <w:rPr>
                <w:bdr w:val="none" w:sz="0" w:space="0" w:color="auto" w:frame="1"/>
                <w:vertAlign w:val="superscript"/>
              </w:rPr>
              <w:t>e</w:t>
            </w:r>
            <w:r>
              <w:t> à la 21</w:t>
            </w:r>
            <w:r>
              <w:rPr>
                <w:bdr w:val="none" w:sz="0" w:space="0" w:color="auto" w:frame="1"/>
                <w:vertAlign w:val="superscript"/>
              </w:rPr>
              <w:t>e</w:t>
            </w:r>
            <w:r>
              <w:t> année</w:t>
            </w:r>
          </w:p>
        </w:tc>
        <w:tc>
          <w:tcPr>
            <w:tcW w:w="0" w:type="auto"/>
            <w:tcBorders>
              <w:top w:val="single" w:sz="6" w:space="0" w:color="EEEEEE"/>
            </w:tcBorders>
            <w:tcMar>
              <w:top w:w="206" w:type="dxa"/>
              <w:left w:w="141" w:type="dxa"/>
              <w:bottom w:w="206" w:type="dxa"/>
              <w:right w:w="141" w:type="dxa"/>
            </w:tcMar>
            <w:vAlign w:val="center"/>
            <w:hideMark/>
          </w:tcPr>
          <w:p w14:paraId="171502D6" w14:textId="77777777" w:rsidR="00867D8F" w:rsidRDefault="00867D8F" w:rsidP="005F4529">
            <w:pPr>
              <w:pStyle w:val="CGPC-elearning"/>
            </w:pPr>
            <w:r>
              <w:t>6 %</w:t>
            </w:r>
          </w:p>
        </w:tc>
        <w:tc>
          <w:tcPr>
            <w:tcW w:w="0" w:type="auto"/>
            <w:tcBorders>
              <w:top w:val="single" w:sz="6" w:space="0" w:color="EEEEEE"/>
            </w:tcBorders>
            <w:tcMar>
              <w:top w:w="206" w:type="dxa"/>
              <w:left w:w="141" w:type="dxa"/>
              <w:bottom w:w="206" w:type="dxa"/>
              <w:right w:w="141" w:type="dxa"/>
            </w:tcMar>
            <w:vAlign w:val="center"/>
            <w:hideMark/>
          </w:tcPr>
          <w:p w14:paraId="1C1A88BD" w14:textId="77777777" w:rsidR="00867D8F" w:rsidRDefault="00867D8F" w:rsidP="005F4529">
            <w:pPr>
              <w:pStyle w:val="CGPC-elearning"/>
            </w:pPr>
            <w:r>
              <w:t>1,65 %</w:t>
            </w:r>
          </w:p>
        </w:tc>
      </w:tr>
      <w:tr w:rsidR="00867D8F" w14:paraId="721C0CF7" w14:textId="77777777" w:rsidTr="00867D8F">
        <w:tc>
          <w:tcPr>
            <w:tcW w:w="0" w:type="auto"/>
            <w:tcBorders>
              <w:top w:val="single" w:sz="6" w:space="0" w:color="EEEEEE"/>
            </w:tcBorders>
            <w:tcMar>
              <w:top w:w="206" w:type="dxa"/>
              <w:left w:w="141" w:type="dxa"/>
              <w:bottom w:w="206" w:type="dxa"/>
              <w:right w:w="141" w:type="dxa"/>
            </w:tcMar>
            <w:vAlign w:val="center"/>
            <w:hideMark/>
          </w:tcPr>
          <w:p w14:paraId="2E454FF5" w14:textId="77777777" w:rsidR="00867D8F" w:rsidRDefault="00867D8F" w:rsidP="005F4529">
            <w:pPr>
              <w:pStyle w:val="CGPC-elearning"/>
            </w:pPr>
            <w:r>
              <w:t>22</w:t>
            </w:r>
            <w:r>
              <w:rPr>
                <w:bdr w:val="none" w:sz="0" w:space="0" w:color="auto" w:frame="1"/>
                <w:vertAlign w:val="superscript"/>
              </w:rPr>
              <w:t>e</w:t>
            </w:r>
            <w:r>
              <w:t> année révolue</w:t>
            </w:r>
          </w:p>
        </w:tc>
        <w:tc>
          <w:tcPr>
            <w:tcW w:w="0" w:type="auto"/>
            <w:tcBorders>
              <w:top w:val="single" w:sz="6" w:space="0" w:color="EEEEEE"/>
            </w:tcBorders>
            <w:tcMar>
              <w:top w:w="206" w:type="dxa"/>
              <w:left w:w="141" w:type="dxa"/>
              <w:bottom w:w="206" w:type="dxa"/>
              <w:right w:w="141" w:type="dxa"/>
            </w:tcMar>
            <w:vAlign w:val="center"/>
            <w:hideMark/>
          </w:tcPr>
          <w:p w14:paraId="34194172" w14:textId="77777777" w:rsidR="00867D8F" w:rsidRDefault="00867D8F" w:rsidP="005F4529">
            <w:pPr>
              <w:pStyle w:val="CGPC-elearning"/>
            </w:pPr>
            <w:r>
              <w:t>4 %</w:t>
            </w:r>
          </w:p>
        </w:tc>
        <w:tc>
          <w:tcPr>
            <w:tcW w:w="0" w:type="auto"/>
            <w:tcBorders>
              <w:top w:val="single" w:sz="6" w:space="0" w:color="EEEEEE"/>
            </w:tcBorders>
            <w:tcMar>
              <w:top w:w="206" w:type="dxa"/>
              <w:left w:w="141" w:type="dxa"/>
              <w:bottom w:w="206" w:type="dxa"/>
              <w:right w:w="141" w:type="dxa"/>
            </w:tcMar>
            <w:vAlign w:val="center"/>
            <w:hideMark/>
          </w:tcPr>
          <w:p w14:paraId="47F08B47" w14:textId="77777777" w:rsidR="00867D8F" w:rsidRDefault="00867D8F" w:rsidP="005F4529">
            <w:pPr>
              <w:pStyle w:val="CGPC-elearning"/>
            </w:pPr>
            <w:r>
              <w:t>1,60 %</w:t>
            </w:r>
          </w:p>
        </w:tc>
      </w:tr>
      <w:tr w:rsidR="00867D8F" w14:paraId="460A2366" w14:textId="77777777" w:rsidTr="00867D8F">
        <w:tc>
          <w:tcPr>
            <w:tcW w:w="0" w:type="auto"/>
            <w:tcBorders>
              <w:top w:val="single" w:sz="6" w:space="0" w:color="EEEEEE"/>
            </w:tcBorders>
            <w:tcMar>
              <w:top w:w="206" w:type="dxa"/>
              <w:left w:w="141" w:type="dxa"/>
              <w:bottom w:w="206" w:type="dxa"/>
              <w:right w:w="141" w:type="dxa"/>
            </w:tcMar>
            <w:vAlign w:val="center"/>
            <w:hideMark/>
          </w:tcPr>
          <w:p w14:paraId="392A4855" w14:textId="77777777" w:rsidR="00867D8F" w:rsidRDefault="00867D8F" w:rsidP="005F4529">
            <w:pPr>
              <w:pStyle w:val="CGPC-elearning"/>
            </w:pPr>
            <w:r>
              <w:t>Au-delà de la 22</w:t>
            </w:r>
            <w:r>
              <w:rPr>
                <w:bdr w:val="none" w:sz="0" w:space="0" w:color="auto" w:frame="1"/>
                <w:vertAlign w:val="superscript"/>
              </w:rPr>
              <w:t>e</w:t>
            </w:r>
            <w:r>
              <w:t> année</w:t>
            </w:r>
          </w:p>
        </w:tc>
        <w:tc>
          <w:tcPr>
            <w:tcW w:w="0" w:type="auto"/>
            <w:tcBorders>
              <w:top w:val="single" w:sz="6" w:space="0" w:color="EEEEEE"/>
            </w:tcBorders>
            <w:tcMar>
              <w:top w:w="206" w:type="dxa"/>
              <w:left w:w="141" w:type="dxa"/>
              <w:bottom w:w="206" w:type="dxa"/>
              <w:right w:w="141" w:type="dxa"/>
            </w:tcMar>
            <w:vAlign w:val="center"/>
            <w:hideMark/>
          </w:tcPr>
          <w:p w14:paraId="2625AE3C" w14:textId="77777777" w:rsidR="00867D8F" w:rsidRDefault="00867D8F" w:rsidP="005F4529">
            <w:pPr>
              <w:pStyle w:val="CGPC-elearning"/>
            </w:pPr>
            <w:r>
              <w:t>Exonération</w:t>
            </w:r>
          </w:p>
        </w:tc>
        <w:tc>
          <w:tcPr>
            <w:tcW w:w="0" w:type="auto"/>
            <w:tcBorders>
              <w:top w:val="single" w:sz="6" w:space="0" w:color="EEEEEE"/>
            </w:tcBorders>
            <w:tcMar>
              <w:top w:w="206" w:type="dxa"/>
              <w:left w:w="141" w:type="dxa"/>
              <w:bottom w:w="206" w:type="dxa"/>
              <w:right w:w="141" w:type="dxa"/>
            </w:tcMar>
            <w:vAlign w:val="center"/>
            <w:hideMark/>
          </w:tcPr>
          <w:p w14:paraId="0E9A06F8" w14:textId="77777777" w:rsidR="00867D8F" w:rsidRDefault="00867D8F" w:rsidP="005F4529">
            <w:pPr>
              <w:pStyle w:val="CGPC-elearning"/>
            </w:pPr>
            <w:r>
              <w:t>9 %</w:t>
            </w:r>
          </w:p>
        </w:tc>
      </w:tr>
      <w:tr w:rsidR="00867D8F" w14:paraId="003B063D" w14:textId="77777777" w:rsidTr="00867D8F">
        <w:tc>
          <w:tcPr>
            <w:tcW w:w="0" w:type="auto"/>
            <w:tcBorders>
              <w:top w:val="single" w:sz="6" w:space="0" w:color="EEEEEE"/>
            </w:tcBorders>
            <w:tcMar>
              <w:top w:w="206" w:type="dxa"/>
              <w:left w:w="141" w:type="dxa"/>
              <w:bottom w:w="206" w:type="dxa"/>
              <w:right w:w="141" w:type="dxa"/>
            </w:tcMar>
            <w:vAlign w:val="center"/>
            <w:hideMark/>
          </w:tcPr>
          <w:p w14:paraId="0DFCC897" w14:textId="77777777" w:rsidR="00867D8F" w:rsidRDefault="00867D8F" w:rsidP="005F4529">
            <w:pPr>
              <w:pStyle w:val="CGPC-elearning"/>
            </w:pPr>
            <w:r>
              <w:t>Au-delà de la 30</w:t>
            </w:r>
            <w:r>
              <w:rPr>
                <w:bdr w:val="none" w:sz="0" w:space="0" w:color="auto" w:frame="1"/>
                <w:vertAlign w:val="superscript"/>
              </w:rPr>
              <w:t>e</w:t>
            </w:r>
            <w:r>
              <w:t> année</w:t>
            </w:r>
          </w:p>
        </w:tc>
        <w:tc>
          <w:tcPr>
            <w:tcW w:w="0" w:type="auto"/>
            <w:tcBorders>
              <w:top w:val="single" w:sz="6" w:space="0" w:color="EEEEEE"/>
            </w:tcBorders>
            <w:tcMar>
              <w:top w:w="206" w:type="dxa"/>
              <w:left w:w="141" w:type="dxa"/>
              <w:bottom w:w="206" w:type="dxa"/>
              <w:right w:w="141" w:type="dxa"/>
            </w:tcMar>
            <w:vAlign w:val="center"/>
            <w:hideMark/>
          </w:tcPr>
          <w:p w14:paraId="35A7F5BD" w14:textId="77777777" w:rsidR="00867D8F" w:rsidRDefault="00867D8F" w:rsidP="005F4529">
            <w:pPr>
              <w:pStyle w:val="CGPC-elearning"/>
            </w:pPr>
            <w:r>
              <w:t> </w:t>
            </w:r>
          </w:p>
        </w:tc>
        <w:tc>
          <w:tcPr>
            <w:tcW w:w="0" w:type="auto"/>
            <w:tcBorders>
              <w:top w:val="single" w:sz="6" w:space="0" w:color="EEEEEE"/>
            </w:tcBorders>
            <w:tcMar>
              <w:top w:w="206" w:type="dxa"/>
              <w:left w:w="141" w:type="dxa"/>
              <w:bottom w:w="206" w:type="dxa"/>
              <w:right w:w="141" w:type="dxa"/>
            </w:tcMar>
            <w:vAlign w:val="center"/>
            <w:hideMark/>
          </w:tcPr>
          <w:p w14:paraId="078B25EF" w14:textId="77777777" w:rsidR="00867D8F" w:rsidRDefault="00867D8F" w:rsidP="005F4529">
            <w:pPr>
              <w:pStyle w:val="CGPC-elearning"/>
            </w:pPr>
            <w:r>
              <w:t>Exonération</w:t>
            </w:r>
          </w:p>
        </w:tc>
      </w:tr>
    </w:tbl>
    <w:p w14:paraId="736AFF6A" w14:textId="77777777" w:rsidR="00867D8F" w:rsidRDefault="00867D8F" w:rsidP="005F4529">
      <w:pPr>
        <w:pStyle w:val="CGPC-elearning"/>
      </w:pPr>
      <w:r>
        <w:t>L’exonération d’IR sera donc acquise après </w:t>
      </w:r>
      <w:r>
        <w:rPr>
          <w:rStyle w:val="lev"/>
          <w:color w:val="666666"/>
          <w:sz w:val="21"/>
          <w:szCs w:val="21"/>
        </w:rPr>
        <w:t>22 ans de détention et l’exonération de prélèvements sociaux après 30 ans.</w:t>
      </w:r>
    </w:p>
    <w:p w14:paraId="6AD57A9F" w14:textId="77777777" w:rsidR="00867D8F" w:rsidRDefault="00867D8F" w:rsidP="005F4529">
      <w:pPr>
        <w:pStyle w:val="CGPC-elearning"/>
      </w:pPr>
      <w:r>
        <w:rPr>
          <w:rStyle w:val="lev"/>
          <w:color w:val="666666"/>
          <w:sz w:val="21"/>
          <w:szCs w:val="21"/>
        </w:rPr>
        <w:t> </w:t>
      </w:r>
    </w:p>
    <w:p w14:paraId="1ACE0A65" w14:textId="77777777" w:rsidR="00867D8F" w:rsidRDefault="00867D8F" w:rsidP="00715252">
      <w:pPr>
        <w:pStyle w:val="Titre3"/>
      </w:pPr>
      <w:bookmarkStart w:id="11" w:name="_Toc207203393"/>
      <w:r>
        <w:lastRenderedPageBreak/>
        <w:t>Abattement exceptionnel en zones tendues :</w:t>
      </w:r>
      <w:bookmarkEnd w:id="11"/>
    </w:p>
    <w:p w14:paraId="7E641C31" w14:textId="77777777" w:rsidR="00404785" w:rsidRDefault="00867D8F" w:rsidP="005F4529">
      <w:pPr>
        <w:pStyle w:val="CGPC-elearning"/>
      </w:pPr>
      <w:r w:rsidRPr="005F4529">
        <w:t>Un abattement exceptionnel de </w:t>
      </w:r>
      <w:r w:rsidR="007F0F2B">
        <w:t>6</w:t>
      </w:r>
      <w:r w:rsidRPr="005F4529">
        <w:t>0 %</w:t>
      </w:r>
      <w:r w:rsidR="007F0F2B">
        <w:t xml:space="preserve"> ou </w:t>
      </w:r>
      <w:r w:rsidR="00404785">
        <w:t>85%</w:t>
      </w:r>
      <w:r w:rsidRPr="005F4529">
        <w:t xml:space="preserve"> s’applique en zones A ou A bis lorsque l’acquéreur s’engage à démolir les constructions existantes pour reconstruire un ou plusieurs bâtiments d’habitation collectifs, sous certaines conditions. </w:t>
      </w:r>
    </w:p>
    <w:p w14:paraId="52642681" w14:textId="04F14B47" w:rsidR="00867D8F" w:rsidRPr="005F4529" w:rsidRDefault="007F0F2B" w:rsidP="005F4529">
      <w:pPr>
        <w:pStyle w:val="CGPC-elearning"/>
      </w:pPr>
      <w:r w:rsidRPr="007F0F2B">
        <w:t>L’abattement sur la plus-value s’applique jusqu’au 31 décembre 2025. La vente doit</w:t>
      </w:r>
      <w:r w:rsidR="00404785">
        <w:t xml:space="preserve"> </w:t>
      </w:r>
      <w:r w:rsidRPr="007F0F2B">
        <w:t>être précédée d’une promesse ou d’un compromis de vente signé entre le 1</w:t>
      </w:r>
      <w:r w:rsidRPr="007F0F2B">
        <w:rPr>
          <w:vertAlign w:val="superscript"/>
        </w:rPr>
        <w:t>er</w:t>
      </w:r>
      <w:r w:rsidRPr="007F0F2B">
        <w:t xml:space="preserve"> janvier 2024 et le 31 décembre 2025.</w:t>
      </w:r>
      <w:r w:rsidR="00867D8F" w:rsidRPr="005F4529">
        <w:t>L’abattement est applicable pour déterminer l’assiette de l’impôt sur le revenu et des prélèvements sociaux. </w:t>
      </w:r>
    </w:p>
    <w:p w14:paraId="0ACAC07C" w14:textId="77777777" w:rsidR="00867D8F" w:rsidRPr="005F4529" w:rsidRDefault="00867D8F" w:rsidP="005F4529">
      <w:pPr>
        <w:pStyle w:val="CGPC-elearning"/>
      </w:pPr>
      <w:r w:rsidRPr="005F4529">
        <w:t>Les moins-values ne sont jamais compensables avec des plus-values de même nature (sauf en cas de cession en bloc d’un immeuble acquis par fractions successives), ni imputables sur le revenu global.</w:t>
      </w:r>
    </w:p>
    <w:p w14:paraId="1F46FA70" w14:textId="77777777" w:rsidR="00867D8F" w:rsidRPr="005F4529" w:rsidRDefault="00867D8F" w:rsidP="005F4529">
      <w:pPr>
        <w:pStyle w:val="CGPC-elearning"/>
      </w:pPr>
      <w:r w:rsidRPr="005F4529">
        <w:t> </w:t>
      </w:r>
    </w:p>
    <w:p w14:paraId="010266AB" w14:textId="77777777" w:rsidR="00867D8F" w:rsidRDefault="00867D8F" w:rsidP="00715252">
      <w:pPr>
        <w:pStyle w:val="Titre3"/>
      </w:pPr>
      <w:r>
        <w:t> </w:t>
      </w:r>
      <w:bookmarkStart w:id="12" w:name="_Toc207203394"/>
      <w:r>
        <w:t>Taxation proportionnelle et surtaxe :</w:t>
      </w:r>
      <w:bookmarkEnd w:id="12"/>
    </w:p>
    <w:p w14:paraId="542968A4" w14:textId="77777777" w:rsidR="00867D8F" w:rsidRDefault="00867D8F" w:rsidP="005F4529">
      <w:pPr>
        <w:pStyle w:val="CGPC-elearning"/>
      </w:pPr>
      <w:r>
        <w:t>La plus-value imposable déterminée est taxée au </w:t>
      </w:r>
      <w:r>
        <w:rPr>
          <w:rStyle w:val="lev"/>
          <w:color w:val="666666"/>
          <w:sz w:val="21"/>
          <w:szCs w:val="21"/>
        </w:rPr>
        <w:t>taux proportionnel de 19 %</w:t>
      </w:r>
      <w:r>
        <w:t> depuis le 1</w:t>
      </w:r>
      <w:r>
        <w:rPr>
          <w:bdr w:val="none" w:sz="0" w:space="0" w:color="auto" w:frame="1"/>
          <w:vertAlign w:val="superscript"/>
        </w:rPr>
        <w:t>er</w:t>
      </w:r>
      <w:r>
        <w:t> janvier 2011.</w:t>
      </w:r>
    </w:p>
    <w:p w14:paraId="53A03019" w14:textId="439FDB4F" w:rsidR="00867D8F" w:rsidRDefault="00867D8F" w:rsidP="005F4529">
      <w:pPr>
        <w:pStyle w:val="CGPC-elearning"/>
      </w:pPr>
      <w:r>
        <w:t>Depuis le 1</w:t>
      </w:r>
      <w:r>
        <w:rPr>
          <w:bdr w:val="none" w:sz="0" w:space="0" w:color="auto" w:frame="1"/>
          <w:vertAlign w:val="superscript"/>
        </w:rPr>
        <w:t>er</w:t>
      </w:r>
      <w:r>
        <w:t> janvier 2013, est instituée une </w:t>
      </w:r>
      <w:r>
        <w:rPr>
          <w:rStyle w:val="lev"/>
          <w:color w:val="666666"/>
          <w:sz w:val="21"/>
          <w:szCs w:val="21"/>
        </w:rPr>
        <w:t>taxation supplémentaire </w:t>
      </w:r>
      <w:r>
        <w:t xml:space="preserve">sur les plus-values immobilières </w:t>
      </w:r>
      <w:r w:rsidR="006E661D">
        <w:t xml:space="preserve">nettes après abattement </w:t>
      </w:r>
      <w:r>
        <w:t>(hors terrain à bâtir) </w:t>
      </w:r>
      <w:r>
        <w:rPr>
          <w:rStyle w:val="lev"/>
          <w:color w:val="666666"/>
          <w:sz w:val="21"/>
          <w:szCs w:val="21"/>
        </w:rPr>
        <w:t>supérieures à 50 000 euros</w:t>
      </w:r>
      <w:r>
        <w:t>. Les taux applicables diffèrent selon le montant de plus-value imposable.</w:t>
      </w:r>
    </w:p>
    <w:p w14:paraId="43621030" w14:textId="77777777" w:rsidR="00867D8F" w:rsidRDefault="00867D8F" w:rsidP="005F4529">
      <w:pPr>
        <w:pStyle w:val="CGPC-elearning"/>
      </w:pPr>
      <w:r>
        <w:t>Ils s’appliquent à compter du 1er euro de plus-value. Le taux appliqué à la totalité de la plus-value est de :</w:t>
      </w:r>
    </w:p>
    <w:p w14:paraId="2413EADD" w14:textId="77777777" w:rsidR="00867D8F" w:rsidRDefault="00867D8F" w:rsidP="005F4529">
      <w:pPr>
        <w:pStyle w:val="CGPC-elearning"/>
      </w:pPr>
      <w:r>
        <w:t>2 % pour les plus-values supérieures à 50 000 € et inférieures ou égales à 100 000 € ;</w:t>
      </w:r>
    </w:p>
    <w:p w14:paraId="2B25E991" w14:textId="77777777" w:rsidR="00867D8F" w:rsidRDefault="00867D8F" w:rsidP="005F4529">
      <w:pPr>
        <w:pStyle w:val="CGPC-elearning"/>
      </w:pPr>
      <w:r>
        <w:t>3 % pour les plus-values supérieures à 100 000 € et inférieures ou égales à 150 000 € ;</w:t>
      </w:r>
    </w:p>
    <w:p w14:paraId="687E2BE0" w14:textId="77777777" w:rsidR="00867D8F" w:rsidRDefault="00867D8F" w:rsidP="005F4529">
      <w:pPr>
        <w:pStyle w:val="CGPC-elearning"/>
      </w:pPr>
      <w:r>
        <w:t>4 % pour les plus-values supérieures à 150 000 € et inférieures ou égales à 200 000 € ;</w:t>
      </w:r>
    </w:p>
    <w:p w14:paraId="4B662629" w14:textId="77777777" w:rsidR="00867D8F" w:rsidRDefault="00867D8F" w:rsidP="005F4529">
      <w:pPr>
        <w:pStyle w:val="CGPC-elearning"/>
      </w:pPr>
      <w:r>
        <w:t>5 % pour les plus-values supérieures à 200 000 € et inférieures ou égales à 250 000 € ;</w:t>
      </w:r>
    </w:p>
    <w:p w14:paraId="28D2E16A" w14:textId="77777777" w:rsidR="00867D8F" w:rsidRDefault="00867D8F" w:rsidP="005F4529">
      <w:pPr>
        <w:pStyle w:val="CGPC-elearning"/>
      </w:pPr>
      <w:r>
        <w:t>6 % pour les plus-values supérieures à 250 000 €.</w:t>
      </w:r>
    </w:p>
    <w:p w14:paraId="3D1E7646" w14:textId="77777777" w:rsidR="00867D8F" w:rsidRDefault="00867D8F" w:rsidP="005F4529">
      <w:pPr>
        <w:pStyle w:val="CGPC-elearning"/>
      </w:pPr>
      <w:r>
        <w:t>Un dispositif de lissage permet de supprimer les sauts d’imposition pour les 10 000 premiers euros de chaque tranche.</w:t>
      </w:r>
    </w:p>
    <w:p w14:paraId="6F78933C" w14:textId="48D25633" w:rsidR="00867D8F" w:rsidRDefault="00867D8F" w:rsidP="005F4529">
      <w:pPr>
        <w:pStyle w:val="CGPC-elearning"/>
      </w:pPr>
      <w:r>
        <w:lastRenderedPageBreak/>
        <w:t>Par exemple, pour une plus-value imposable de 50 001 €, l’impôt sera de 500 €, au lieu de 1 000 €. Pour la 1</w:t>
      </w:r>
      <w:r>
        <w:rPr>
          <w:bdr w:val="none" w:sz="0" w:space="0" w:color="auto" w:frame="1"/>
          <w:vertAlign w:val="superscript"/>
        </w:rPr>
        <w:t>ère</w:t>
      </w:r>
      <w:r>
        <w:t> tranche du barème d’imposition, le dispositif de lissage s’annulera pour une plus-value de 60 000 euros.</w:t>
      </w:r>
    </w:p>
    <w:p w14:paraId="7FB54A05" w14:textId="77777777" w:rsidR="00867D8F" w:rsidRDefault="00867D8F" w:rsidP="005F4529">
      <w:pPr>
        <w:pStyle w:val="CGPC-elearning"/>
      </w:pPr>
      <w:r>
        <w:t>Lorsque la vente porte sur un bien appartenant à plusieurs personnes, l’appréciation du seuil de 50 000 € et le calcul de la taxe s’effectuent d’après la quote-part détenue par chacun (indivisaires, concubins, partenaires de pacs). La solution est identique pour un couple marié qui cède un bien de communauté: par exemple, si la vente génère une plus-value imposable de 90 000 €, la surtaxe n’est pas due (90 000 €/2 = 45 000 €).</w:t>
      </w:r>
    </w:p>
    <w:p w14:paraId="68E5B14D" w14:textId="77777777" w:rsidR="00867D8F" w:rsidRDefault="00867D8F" w:rsidP="005F4529">
      <w:pPr>
        <w:pStyle w:val="CGPC-elearning"/>
      </w:pPr>
      <w:r>
        <w:t>Il s’y ajoute les </w:t>
      </w:r>
      <w:r>
        <w:rPr>
          <w:rStyle w:val="lev"/>
          <w:color w:val="666666"/>
          <w:sz w:val="21"/>
          <w:szCs w:val="21"/>
        </w:rPr>
        <w:t>prélèvements sociaux </w:t>
      </w:r>
      <w:r>
        <w:t>au taux de 17,2 %.</w:t>
      </w:r>
    </w:p>
    <w:p w14:paraId="4ECFD12E" w14:textId="77777777" w:rsidR="00867D8F" w:rsidRDefault="00867D8F" w:rsidP="005F4529">
      <w:pPr>
        <w:pStyle w:val="CGPC-elearning"/>
      </w:pPr>
      <w:r>
        <w:t>Le fait générateur de l’imposition est constitué par la cession à titre onéreux du bien immobilier.</w:t>
      </w:r>
    </w:p>
    <w:p w14:paraId="1598B55E" w14:textId="77777777" w:rsidR="00867D8F" w:rsidRDefault="00867D8F" w:rsidP="005F4529">
      <w:pPr>
        <w:pStyle w:val="CGPC-elearning"/>
      </w:pPr>
      <w:r>
        <w:t>La plus-value est donc toujours taxée à la </w:t>
      </w:r>
      <w:r>
        <w:rPr>
          <w:rStyle w:val="lev"/>
          <w:color w:val="666666"/>
          <w:sz w:val="21"/>
          <w:szCs w:val="21"/>
        </w:rPr>
        <w:t>date de la cession</w:t>
      </w:r>
      <w:r>
        <w:t>, quelles que soient les modalités de paiement du prix (comptant, à terme, par annuités).</w:t>
      </w:r>
    </w:p>
    <w:p w14:paraId="1E72A0F5" w14:textId="77777777" w:rsidR="00867D8F" w:rsidRPr="005F4529" w:rsidRDefault="00867D8F" w:rsidP="005F4529">
      <w:r w:rsidRPr="005F4529">
        <w:t> </w:t>
      </w:r>
    </w:p>
    <w:p w14:paraId="2E958742" w14:textId="77777777" w:rsidR="00867D8F" w:rsidRDefault="00867D8F" w:rsidP="00715252">
      <w:pPr>
        <w:pStyle w:val="Titre3"/>
      </w:pPr>
      <w:bookmarkStart w:id="13" w:name="_Toc207203395"/>
      <w:r>
        <w:t>Cession d’une résidence principale</w:t>
      </w:r>
      <w:bookmarkEnd w:id="13"/>
    </w:p>
    <w:p w14:paraId="3972C7EB" w14:textId="77777777" w:rsidR="00867D8F" w:rsidRPr="005F4529" w:rsidRDefault="00867D8F" w:rsidP="005F4529">
      <w:pPr>
        <w:pStyle w:val="CGPC-elearning"/>
      </w:pPr>
      <w:r w:rsidRPr="005F4529">
        <w:t>Pour que les plus-values réalisées lors de la cession d’une résidence principale soient exonérées, il faut que le logement soit la résidence principale et effective du cédant au jour de la cession.</w:t>
      </w:r>
    </w:p>
    <w:p w14:paraId="036C4D27" w14:textId="77777777" w:rsidR="00867D8F" w:rsidRPr="005F4529" w:rsidRDefault="00867D8F" w:rsidP="005F4529">
      <w:pPr>
        <w:pStyle w:val="CGPC-elearning"/>
      </w:pPr>
      <w:r w:rsidRPr="005F4529">
        <w:t>Le logement peut toutefois être détenu directement par le contribuable ou par l’intermédiaire d’une SCI. Dans ce cas, la plus-value de cession d’un immeuble détenu par une Société Civile et occupé au titre de sa résidence principale par un associé est exonérée pour la part revenant à cet associé si l’associé en disposait gratuitement.</w:t>
      </w:r>
    </w:p>
    <w:p w14:paraId="6CD88F48" w14:textId="77777777" w:rsidR="00867D8F" w:rsidRPr="005F4529" w:rsidRDefault="00867D8F" w:rsidP="005F4529">
      <w:pPr>
        <w:pStyle w:val="CGPC-elearning"/>
      </w:pPr>
      <w:r w:rsidRPr="005F4529">
        <w:t>Il doit s’agir de la résidence principale habituelle et effective : c’est à dire celle que le contribuable occupe la majeure partie de l’année ; ainsi, l’utilisation temporaire d’un logement, notamment juste avant sa vente, ne permettra pas de bénéficier de l’exonération.</w:t>
      </w:r>
    </w:p>
    <w:p w14:paraId="4AFDAD40" w14:textId="77777777" w:rsidR="00867D8F" w:rsidRPr="005F4529" w:rsidRDefault="00867D8F" w:rsidP="005F4529">
      <w:pPr>
        <w:pStyle w:val="CGPC-elearning"/>
      </w:pPr>
      <w:r w:rsidRPr="005F4529">
        <w:t>Les « dépendances immédiates et nécessaires » comme les caves, garages, chambres de bonne… qui sont vendues en même temps sont également exonérées.</w:t>
      </w:r>
    </w:p>
    <w:p w14:paraId="00EC3FE7" w14:textId="77777777" w:rsidR="00867D8F" w:rsidRPr="005F4529" w:rsidRDefault="00867D8F" w:rsidP="005F4529">
      <w:pPr>
        <w:pStyle w:val="CGPC-elearning"/>
      </w:pPr>
      <w:r w:rsidRPr="005F4529">
        <w:t>Un garage, qui n’est pas attenant à l’habitation mais situé à moins d’un kilomètre, est considéré comme une dépendance immédiate.</w:t>
      </w:r>
    </w:p>
    <w:p w14:paraId="025C379F" w14:textId="77777777" w:rsidR="00867D8F" w:rsidRPr="005F4529" w:rsidRDefault="00867D8F" w:rsidP="005F4529">
      <w:pPr>
        <w:pStyle w:val="CGPC-elearning"/>
      </w:pPr>
      <w:r w:rsidRPr="005F4529">
        <w:t>Il doit également s’agir de la résidence principale au jour de la cession.</w:t>
      </w:r>
    </w:p>
    <w:p w14:paraId="26CE72CE" w14:textId="77777777" w:rsidR="00867D8F" w:rsidRPr="005F4529" w:rsidRDefault="00867D8F" w:rsidP="005F4529">
      <w:pPr>
        <w:pStyle w:val="CGPC-elearning"/>
      </w:pPr>
      <w:r w:rsidRPr="005F4529">
        <w:lastRenderedPageBreak/>
        <w:t>Cependant, par tolérance, l’exonération est maintenue si le bien a été occupé jusqu’à sa mise en vente et que la cession intervient dans les délais normaux de vente (un an ou plus suivant les circonstances de fait, telles que les difficultés du marché immobilier). De même, en cas de séparation ou de divorce, l’exonération s’applique si le logement est occupé par l’ex-conjoint, partenaire d’un PACS ou concubin jusqu’à sa mise en vente. Enfin, en cas d’achat d’un appartement sur plan destiné à l’habitation principale, la plus-value peut être exonérée, en particulier si la vente est motivée par une mutation professionnelle, un décès ou une invalidité.</w:t>
      </w:r>
    </w:p>
    <w:p w14:paraId="591715F9" w14:textId="77777777" w:rsidR="00867D8F" w:rsidRPr="005A33D6" w:rsidRDefault="00867D8F" w:rsidP="005F4529">
      <w:pPr>
        <w:pStyle w:val="CGPC-elearning"/>
        <w:rPr>
          <w:b/>
          <w:bCs w:val="0"/>
        </w:rPr>
      </w:pPr>
      <w:r w:rsidRPr="005A33D6">
        <w:rPr>
          <w:b/>
          <w:bCs w:val="0"/>
        </w:rPr>
        <w:t>Cas particuliers :</w:t>
      </w:r>
    </w:p>
    <w:p w14:paraId="65B2C76F" w14:textId="77777777" w:rsidR="00867D8F" w:rsidRPr="005F4529" w:rsidRDefault="00867D8F" w:rsidP="005F4529">
      <w:pPr>
        <w:pStyle w:val="CGPC-elearning"/>
      </w:pPr>
      <w:r w:rsidRPr="005F4529">
        <w:t>Les retraités ou les adultes handicapés résidant en maison de retraite médicalisée ou en foyer d’accueil médicalisé, bénéficient de l’exonération de la plus-value réalisée lors de la vente de la résidence principale si elle intervient dans les deux ans suivant l’entrée dans cette structure d’accueil et si cette résidence est restée libre de toute occupation depuis l’entrée dans l’établissement. D’autres conditions sont également requises pour bénéficier de cette exonération.</w:t>
      </w:r>
    </w:p>
    <w:p w14:paraId="1699EAE8" w14:textId="77777777" w:rsidR="00867D8F" w:rsidRPr="005F4529" w:rsidRDefault="00867D8F" w:rsidP="005F4529">
      <w:pPr>
        <w:pStyle w:val="CGPC-elearning"/>
      </w:pPr>
      <w:r w:rsidRPr="005F4529">
        <w:t> </w:t>
      </w:r>
    </w:p>
    <w:p w14:paraId="397C1818" w14:textId="7472579F" w:rsidR="008F0E8E" w:rsidRDefault="008F0E8E">
      <w:pPr>
        <w:jc w:val="left"/>
        <w:rPr>
          <w:rFonts w:cs="Open Sans"/>
          <w:bCs/>
          <w:kern w:val="2"/>
          <w:szCs w:val="36"/>
          <w14:ligatures w14:val="standardContextual"/>
        </w:rPr>
      </w:pPr>
      <w:r>
        <w:br w:type="page"/>
      </w:r>
    </w:p>
    <w:p w14:paraId="7CB2EC23" w14:textId="7C4EDAD9" w:rsidR="00365D35" w:rsidRDefault="00365D35" w:rsidP="00365D35">
      <w:r>
        <w:rPr>
          <w:noProof/>
          <w14:ligatures w14:val="standardContextual"/>
        </w:rPr>
        <w:lastRenderedPageBreak/>
        <mc:AlternateContent>
          <mc:Choice Requires="wps">
            <w:drawing>
              <wp:anchor distT="0" distB="0" distL="114300" distR="114300" simplePos="0" relativeHeight="251661312" behindDoc="1" locked="0" layoutInCell="1" allowOverlap="1" wp14:anchorId="782EB216" wp14:editId="7F31665A">
                <wp:simplePos x="0" y="0"/>
                <wp:positionH relativeFrom="column">
                  <wp:posOffset>-914400</wp:posOffset>
                </wp:positionH>
                <wp:positionV relativeFrom="paragraph">
                  <wp:posOffset>-93980</wp:posOffset>
                </wp:positionV>
                <wp:extent cx="16516350" cy="8877300"/>
                <wp:effectExtent l="0" t="0" r="19050" b="19050"/>
                <wp:wrapNone/>
                <wp:docPr id="452830183" name="Rectangle 5"/>
                <wp:cNvGraphicFramePr/>
                <a:graphic xmlns:a="http://schemas.openxmlformats.org/drawingml/2006/main">
                  <a:graphicData uri="http://schemas.microsoft.com/office/word/2010/wordprocessingShape">
                    <wps:wsp>
                      <wps:cNvSpPr/>
                      <wps:spPr>
                        <a:xfrm>
                          <a:off x="0" y="0"/>
                          <a:ext cx="16516350" cy="8877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AB7C7C" id="Rectangle 5" o:spid="_x0000_s1026" style="position:absolute;margin-left:-1in;margin-top:-7.4pt;width:1300.5pt;height:699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" fillcolor="#4472c4 [3204]" strokecolor="#09101d [484]" strokeweight="1pt"/>
            </w:pict>
          </mc:Fallback>
        </mc:AlternateContent>
      </w:r>
    </w:p>
    <w:p w14:paraId="3C2BCA91" w14:textId="77777777" w:rsidR="00365D35" w:rsidRDefault="00365D35" w:rsidP="00365D35"/>
    <w:p w14:paraId="5DD91DE7" w14:textId="77777777" w:rsidR="00365D35" w:rsidRDefault="00365D35" w:rsidP="00365D35"/>
    <w:p w14:paraId="287C2FE7" w14:textId="77777777" w:rsidR="00365D35" w:rsidRDefault="00365D35" w:rsidP="00365D35"/>
    <w:p w14:paraId="0DF0210D" w14:textId="77777777" w:rsidR="00365D35" w:rsidRDefault="00365D35" w:rsidP="00365D35"/>
    <w:p w14:paraId="76DA5736" w14:textId="77777777" w:rsidR="00365D35" w:rsidRDefault="00365D35" w:rsidP="00365D35"/>
    <w:p w14:paraId="7E568623" w14:textId="77777777" w:rsidR="00365D35" w:rsidRDefault="00365D35" w:rsidP="00365D35"/>
    <w:p w14:paraId="3415575B" w14:textId="77777777" w:rsidR="00365D35" w:rsidRDefault="00365D35" w:rsidP="00365D35"/>
    <w:p w14:paraId="7060CDAA" w14:textId="77777777" w:rsidR="00365D35" w:rsidRDefault="00365D35" w:rsidP="00365D35"/>
    <w:p w14:paraId="5381844A" w14:textId="77777777" w:rsidR="00365D35" w:rsidRDefault="00365D35" w:rsidP="00365D35"/>
    <w:p w14:paraId="2D8AE8C4" w14:textId="77777777" w:rsidR="00365D35" w:rsidRDefault="00365D35" w:rsidP="00365D35"/>
    <w:p w14:paraId="2302CDE3" w14:textId="77777777" w:rsidR="00365D35" w:rsidRDefault="00365D35" w:rsidP="00365D35"/>
    <w:p w14:paraId="68B52802" w14:textId="4510726E" w:rsidR="00F5519A" w:rsidRPr="00365D35" w:rsidRDefault="00867D8F" w:rsidP="00365D35">
      <w:pPr>
        <w:pStyle w:val="Titre1"/>
      </w:pPr>
      <w:bookmarkStart w:id="14" w:name="_Toc207203396"/>
      <w:r w:rsidRPr="00365D35">
        <w:t>La vente d’un bien pour un locataire</w:t>
      </w:r>
      <w:bookmarkEnd w:id="14"/>
    </w:p>
    <w:p w14:paraId="0D5FA619" w14:textId="651CDC1A" w:rsidR="00867D8F" w:rsidRPr="00F5519A" w:rsidRDefault="00F5519A" w:rsidP="00F5519A">
      <w:pPr>
        <w:pStyle w:val="CGPC-elearning"/>
        <w:rPr>
          <w:rFonts w:eastAsiaTheme="majorEastAsia"/>
          <w:color w:val="3A5D9C"/>
          <w:sz w:val="44"/>
          <w:szCs w:val="26"/>
          <w:bdr w:val="none" w:sz="0" w:space="0" w:color="auto" w:frame="1"/>
        </w:rPr>
      </w:pPr>
      <w:r>
        <w:br w:type="page"/>
      </w:r>
    </w:p>
    <w:p w14:paraId="08CCC606" w14:textId="77777777"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r>
        <w:rPr>
          <w:rFonts w:ascii="Open Sans" w:hAnsi="Open Sans" w:cs="Open Sans"/>
          <w:color w:val="666666"/>
          <w:sz w:val="21"/>
          <w:szCs w:val="21"/>
        </w:rPr>
        <w:lastRenderedPageBreak/>
        <w:t> </w:t>
      </w:r>
    </w:p>
    <w:p w14:paraId="205EFBE6" w14:textId="77777777" w:rsidR="00867D8F" w:rsidRDefault="00867D8F" w:rsidP="00715252">
      <w:pPr>
        <w:pStyle w:val="Titre2"/>
        <w:numPr>
          <w:ilvl w:val="0"/>
          <w:numId w:val="34"/>
        </w:numPr>
      </w:pPr>
      <w:bookmarkStart w:id="15" w:name="_Toc207203397"/>
      <w:r>
        <w:t>Congé pour vente : le locataire est-il toujours prioritaire pour acheter ?</w:t>
      </w:r>
      <w:bookmarkEnd w:id="15"/>
    </w:p>
    <w:p w14:paraId="76F27C92" w14:textId="77777777" w:rsidR="00867D8F" w:rsidRPr="008F0E8E" w:rsidRDefault="00867D8F" w:rsidP="00715252">
      <w:pPr>
        <w:pStyle w:val="Titre3"/>
        <w:numPr>
          <w:ilvl w:val="0"/>
          <w:numId w:val="32"/>
        </w:numPr>
      </w:pPr>
      <w:bookmarkStart w:id="16" w:name="_Toc207203398"/>
      <w:r w:rsidRPr="008F0E8E">
        <w:t>Qu’est-ce que le droit de préemption ?</w:t>
      </w:r>
      <w:bookmarkEnd w:id="16"/>
    </w:p>
    <w:p w14:paraId="4FA1DAF5" w14:textId="77777777" w:rsidR="00867D8F" w:rsidRPr="008F0E8E" w:rsidRDefault="00867D8F" w:rsidP="008F0E8E">
      <w:pPr>
        <w:pStyle w:val="CGPC-elearning"/>
      </w:pPr>
      <w:r w:rsidRPr="008F0E8E">
        <w:t>En cas de vente du logement loué, le bailleur est tenu de respecter, dans certains cas, le droit de préemption du locataire. Ce droit est prévu par </w:t>
      </w:r>
      <w:hyperlink r:id="rId20" w:history="1">
        <w:r w:rsidRPr="008F0E8E">
          <w:rPr>
            <w:rStyle w:val="Lienhypertexte"/>
          </w:rPr>
          <w:t>la loi n°75-1351 du 31 décembre 1975</w:t>
        </w:r>
      </w:hyperlink>
      <w:r w:rsidRPr="008F0E8E">
        <w:t> et par </w:t>
      </w:r>
      <w:hyperlink r:id="rId21" w:history="1">
        <w:r w:rsidRPr="008F0E8E">
          <w:rPr>
            <w:rStyle w:val="Lienhypertexte"/>
          </w:rPr>
          <w:t>la loi n°89-462 du 6 juillet 1989</w:t>
        </w:r>
      </w:hyperlink>
      <w:r w:rsidRPr="008F0E8E">
        <w:t>.</w:t>
      </w:r>
    </w:p>
    <w:p w14:paraId="0F59D4D4" w14:textId="77777777" w:rsidR="00867D8F" w:rsidRPr="008F0E8E" w:rsidRDefault="00867D8F" w:rsidP="008F0E8E">
      <w:pPr>
        <w:pStyle w:val="CGPC-elearning"/>
      </w:pPr>
      <w:r w:rsidRPr="008F0E8E">
        <w:t>Conformément aux dispositions de ces deux lois, si le bailleur donne congé au locataire pour vente, le locataire est prioritaire sur la vente du logement loué. Cela s’applique pour les locations non meublées (</w:t>
      </w:r>
      <w:hyperlink r:id="rId22" w:history="1">
        <w:r w:rsidRPr="008F0E8E">
          <w:rPr>
            <w:rStyle w:val="Lienhypertexte"/>
          </w:rPr>
          <w:t>baux d’habitation non meublées</w:t>
        </w:r>
      </w:hyperlink>
      <w:r w:rsidRPr="008F0E8E">
        <w:t> ou </w:t>
      </w:r>
      <w:hyperlink r:id="rId23" w:history="1">
        <w:r w:rsidRPr="008F0E8E">
          <w:rPr>
            <w:rStyle w:val="Lienhypertexte"/>
          </w:rPr>
          <w:t>baux commerciaux</w:t>
        </w:r>
      </w:hyperlink>
      <w:r w:rsidRPr="008F0E8E">
        <w:t> pour locaux nus).</w:t>
      </w:r>
    </w:p>
    <w:p w14:paraId="04468B1B" w14:textId="77777777" w:rsidR="00867D8F" w:rsidRPr="008F0E8E" w:rsidRDefault="00867D8F" w:rsidP="008F0E8E">
      <w:pPr>
        <w:pStyle w:val="CGPC-elearning"/>
      </w:pPr>
      <w:r w:rsidRPr="008F0E8E">
        <w:t>Pour rappel, le congé pour vente du locataire doit être notifié au locataire par lettre recommandée avec accusé de réception, par signification d’acte d’huissier ou par remise en mains propres contre récépissé ou émargement en respectant un préavis de six mois.</w:t>
      </w:r>
    </w:p>
    <w:p w14:paraId="2153463B" w14:textId="77777777" w:rsidR="00867D8F" w:rsidRPr="008F0E8E" w:rsidRDefault="00867D8F" w:rsidP="008F0E8E">
      <w:pPr>
        <w:pStyle w:val="CGPC-elearning"/>
      </w:pPr>
      <w:r w:rsidRPr="008F0E8E">
        <w:t>Bon à savoir : En cas de pluralité de locataires, le bailleur doit délivrer un congé pour vente à chacun d’entre eux selon les modalités susvisées.</w:t>
      </w:r>
    </w:p>
    <w:p w14:paraId="12B9FA7C" w14:textId="77777777" w:rsidR="00867D8F" w:rsidRPr="008F0E8E" w:rsidRDefault="00867D8F" w:rsidP="008F0E8E">
      <w:pPr>
        <w:pStyle w:val="CGPC-elearning"/>
      </w:pPr>
      <w:r w:rsidRPr="008F0E8E">
        <w:t>Ainsi, le locataire bénéficie d’un droit de priorité pour acheter le logement qu’il occupe avant que le bailleur ne propose son offre à des tiers acquéreurs. Ce droit a été mis en place pour renforcer la protection du locataire. Le droit de préemption du locataire bénéficie également à son conjoint ou à son partenaire de PACS.</w:t>
      </w:r>
    </w:p>
    <w:p w14:paraId="03CB319B" w14:textId="77777777" w:rsidR="00867D8F" w:rsidRPr="008F0E8E" w:rsidRDefault="00867D8F" w:rsidP="008F0E8E">
      <w:pPr>
        <w:pStyle w:val="CGPC-elearning"/>
      </w:pPr>
      <w:r w:rsidRPr="008F0E8E">
        <w:t>Le locataire est prioritaire en cas de congé pour vente</w:t>
      </w:r>
    </w:p>
    <w:p w14:paraId="253AB085" w14:textId="77777777" w:rsidR="00867D8F" w:rsidRPr="008F0E8E" w:rsidRDefault="00867D8F" w:rsidP="008F0E8E">
      <w:pPr>
        <w:pStyle w:val="CGPC-elearning"/>
      </w:pPr>
      <w:r w:rsidRPr="008F0E8E">
        <w:t>Le droit de préemption a été mis en place pour protéger le locataire en cas de vente du logement qu’il occupe. Il s’applique uniquement  aux locaux  loués vides à usage d’habitation principale et à usage mixte d’habitation principale et professionnel.</w:t>
      </w:r>
    </w:p>
    <w:p w14:paraId="5792B468" w14:textId="77777777" w:rsidR="00867D8F" w:rsidRPr="008F0E8E" w:rsidRDefault="00867D8F" w:rsidP="008F0E8E">
      <w:pPr>
        <w:pStyle w:val="CGPC-elearning"/>
      </w:pPr>
      <w:r w:rsidRPr="008F0E8E">
        <w:t>Ce droit se traduit par la priorité donnée au locataire d’acheter le logement avant tout autre acquéreur. Le droit de préemption s’ouvre au locataire suite à un projet de vente de son logement par son propriétaire bailleur.</w:t>
      </w:r>
    </w:p>
    <w:p w14:paraId="321FEEAC" w14:textId="77777777" w:rsidR="00867D8F" w:rsidRPr="008F0E8E" w:rsidRDefault="00867D8F" w:rsidP="008F0E8E">
      <w:pPr>
        <w:pStyle w:val="CGPC-elearning"/>
      </w:pPr>
      <w:r w:rsidRPr="008F0E8E">
        <w:t> </w:t>
      </w:r>
    </w:p>
    <w:p w14:paraId="0E13FDC0" w14:textId="77777777" w:rsidR="00867D8F" w:rsidRPr="008F0E8E" w:rsidRDefault="00867D8F" w:rsidP="008F0E8E">
      <w:pPr>
        <w:pStyle w:val="CGPC-elearning"/>
      </w:pPr>
      <w:r w:rsidRPr="008F0E8E">
        <w:lastRenderedPageBreak/>
        <w:t>Important : ce droit de préemption n’existe que dans l’hypothèse où votre propriétaire souhaite vendre le logement en fin de bail et libre de tout occupant. Il délivre alors un congé pour vendre, 6 mois avant le terme du bail. C’est uniquement dans ces circonstances que le droit de préemption s’applique.</w:t>
      </w:r>
    </w:p>
    <w:p w14:paraId="0431E929" w14:textId="77777777" w:rsidR="008F0E8E" w:rsidRDefault="008F0E8E" w:rsidP="00867D8F">
      <w:pPr>
        <w:pStyle w:val="NormalWeb"/>
        <w:spacing w:before="0" w:beforeAutospacing="0" w:after="0" w:afterAutospacing="0"/>
        <w:jc w:val="both"/>
        <w:textAlignment w:val="baseline"/>
        <w:rPr>
          <w:rStyle w:val="lev"/>
          <w:color w:val="666666"/>
          <w:sz w:val="21"/>
          <w:szCs w:val="21"/>
        </w:rPr>
      </w:pPr>
    </w:p>
    <w:p w14:paraId="34CAAEE8" w14:textId="60785A6D" w:rsidR="00867D8F" w:rsidRPr="008F0E8E" w:rsidRDefault="00867D8F" w:rsidP="00715252">
      <w:pPr>
        <w:pStyle w:val="Titre3"/>
      </w:pPr>
      <w:bookmarkStart w:id="17" w:name="_Toc207203399"/>
      <w:r w:rsidRPr="008F0E8E">
        <w:t>Le locataire peut être prioritaire en cours de bail dans deux hypothèses :</w:t>
      </w:r>
      <w:bookmarkEnd w:id="17"/>
    </w:p>
    <w:p w14:paraId="5EA4C0B6" w14:textId="77777777" w:rsidR="00867D8F" w:rsidRPr="008F0E8E" w:rsidRDefault="00867D8F" w:rsidP="008F0E8E">
      <w:pPr>
        <w:pStyle w:val="CGPC-elearning"/>
      </w:pPr>
      <w:r w:rsidRPr="008F0E8E">
        <w:t> Lorsqu’il s’agit d’une première vente consécutive à la division ou à la subdivision de l’immeuble, le locataire peut bénéficier, même en cours de bail, du droit de préemption. Ce droit résulte de l’article 10 de la loi du 31 décembre 1975 qui accorde au locataire la priorité sur la vente, alors même qu’il ne reçoit pas congé et qu’il n’est donc pas tenu de quitter le logement.  Cette situation se présente lorsque le propriétaire d’un immeuble collectif décide de vendre un logement. Dans ce cas, l’immeuble passe sous le statut de la copropriété et les premières ventes de logement suivant cette division ouvrent droit, au profit du locataire, au droit de préemption.</w:t>
      </w:r>
    </w:p>
    <w:p w14:paraId="7181FC6D" w14:textId="77777777" w:rsidR="00867D8F" w:rsidRPr="008F0E8E" w:rsidRDefault="00867D8F" w:rsidP="008F0E8E">
      <w:pPr>
        <w:pStyle w:val="CGPC-elearning"/>
      </w:pPr>
      <w:r w:rsidRPr="008F0E8E">
        <w:t>Il existe un second droit de préemption issu de la loi du 13 juin 2006 et modifié par la  loi Alur. Ce droit existe au profit du locataire dans le cas de la vente « dans sa totalité et en une seule fois » d’un immeuble à usage d’habitation ou mixte de plus de cinq logements (sauf si l’acquéreur de l’immeuble décide de proroger de six ans les baux en cours, si la vente intervient entre parents ou alliés jusqu’au troisième degré ou si la commune exerce son droit de préemption). On parle dans ce cas de vente à la découpe.</w:t>
      </w:r>
    </w:p>
    <w:p w14:paraId="22BDDA89" w14:textId="77777777" w:rsidR="00867D8F" w:rsidRPr="008F0E8E" w:rsidRDefault="00867D8F" w:rsidP="008F0E8E">
      <w:pPr>
        <w:pStyle w:val="CGPC-elearning"/>
      </w:pPr>
      <w:r w:rsidRPr="008F0E8E">
        <w:t>Vente occupée et échec au droit de préemption</w:t>
      </w:r>
    </w:p>
    <w:p w14:paraId="687573D6" w14:textId="77777777" w:rsidR="00867D8F" w:rsidRPr="008F0E8E" w:rsidRDefault="00867D8F" w:rsidP="008F0E8E">
      <w:pPr>
        <w:pStyle w:val="CGPC-elearning"/>
      </w:pPr>
      <w:r w:rsidRPr="008F0E8E">
        <w:t>Bien sûr, si votre propriétaire bailleur souhaite vendre son bien en cours de bail, il peut vous faire une offre, mais il n’en a pas l’obligation, car vous ne bénéficiez pas du droit de préemption.</w:t>
      </w:r>
    </w:p>
    <w:p w14:paraId="7CE9D02D" w14:textId="77777777" w:rsidR="00867D8F" w:rsidRPr="008F0E8E" w:rsidRDefault="00867D8F" w:rsidP="008F0E8E">
      <w:pPr>
        <w:pStyle w:val="CGPC-elearning"/>
      </w:pPr>
      <w:r w:rsidRPr="008F0E8E">
        <w:t>Il est aussi possible pour le bailleur de vendre le logement occupé, pendant le bail. Cela se pratique en toute légalité. Alors, votre contrat de location n’est pas remis en cause et doit être respecté par votre nouveau bailleur.</w:t>
      </w:r>
    </w:p>
    <w:p w14:paraId="30E43CB8" w14:textId="4318026D" w:rsidR="00867D8F" w:rsidRPr="008F0E8E" w:rsidRDefault="00867D8F" w:rsidP="008F0E8E">
      <w:pPr>
        <w:pStyle w:val="CGPC-elearning"/>
      </w:pPr>
      <w:r w:rsidRPr="00CD4C7F">
        <w:rPr>
          <w:b/>
          <w:bCs w:val="0"/>
          <w:u w:val="single"/>
        </w:rPr>
        <w:t> Attention !</w:t>
      </w:r>
      <w:r w:rsidRPr="008F0E8E">
        <w:t>  Pour les locataires en place dont le contrat de location vide (non meublé) a été reconduit ou conclu depuis le 27 mars 2014, date d’entrée en vigueur de la loi Alur, l’acheteur du logement occupé (le repreneur du bail) qui souhaite donner congé au locataire en place doit tenir compte des délais spécifiques qui s’imposent à lui dans cette hypothèse à savoir:</w:t>
      </w:r>
    </w:p>
    <w:p w14:paraId="3EFA27C0" w14:textId="77777777" w:rsidR="00867D8F" w:rsidRPr="008F0E8E" w:rsidRDefault="00867D8F" w:rsidP="008F0E8E">
      <w:pPr>
        <w:pStyle w:val="CGPC-elearning"/>
      </w:pPr>
      <w:r w:rsidRPr="008F0E8E">
        <w:t xml:space="preserve">Il ne peut le faire que pour le terme du premier renouvellement du bail, sachant que la durée du bail en location vide est de trois ans (six quand le propriétaire est une société). Il doit donc, au minimum, attendre la fin du bail en cours, plus les trois années du bail reconduit, pour </w:t>
      </w:r>
      <w:r w:rsidRPr="008F0E8E">
        <w:lastRenderedPageBreak/>
        <w:t>pouvoir mettre un terme au bail du locataire et vendre le logement libre. S’il achète un logement occupé, par exemple, à dix mois de la fin du bail, l’acheteur ne pourra donner valablement congé au locataire qu’à l’échéance du bail qui se sera renouvelé à l’issue des dix mois, soit au total trois ans et dix mois après l’acquisition ;</w:t>
      </w:r>
    </w:p>
    <w:p w14:paraId="1DD3C07A" w14:textId="77777777" w:rsidR="00867D8F" w:rsidRPr="008F0E8E" w:rsidRDefault="00867D8F" w:rsidP="008F0E8E">
      <w:pPr>
        <w:pStyle w:val="CGPC-elearning"/>
      </w:pPr>
      <w:r w:rsidRPr="008F0E8E">
        <w:t>Si l’acheteur veut donner un congé pour reprise, il devra attendre au minimum deux ans à compter de la vente pour pouvoir récupérer le logement, même si l’échéance du bail en cours était plus proche.</w:t>
      </w:r>
    </w:p>
    <w:p w14:paraId="5F8BC5FC" w14:textId="77777777" w:rsidR="00867D8F" w:rsidRPr="008F0E8E" w:rsidRDefault="00867D8F" w:rsidP="008F0E8E">
      <w:pPr>
        <w:pStyle w:val="CGPC-elearning"/>
      </w:pPr>
      <w:r w:rsidRPr="008F0E8E">
        <w:t> </w:t>
      </w:r>
    </w:p>
    <w:p w14:paraId="10374132" w14:textId="77777777" w:rsidR="00867D8F" w:rsidRDefault="00867D8F" w:rsidP="00715252">
      <w:pPr>
        <w:pStyle w:val="Titre2"/>
      </w:pPr>
      <w:bookmarkStart w:id="18" w:name="_Toc207203400"/>
      <w:r>
        <w:t>Les limites du droit de préemption</w:t>
      </w:r>
      <w:bookmarkEnd w:id="18"/>
    </w:p>
    <w:p w14:paraId="784DE228" w14:textId="77777777" w:rsidR="00867D8F" w:rsidRDefault="00867D8F" w:rsidP="00715252">
      <w:pPr>
        <w:pStyle w:val="Titre3"/>
        <w:numPr>
          <w:ilvl w:val="0"/>
          <w:numId w:val="35"/>
        </w:numPr>
      </w:pPr>
      <w:bookmarkStart w:id="19" w:name="_Toc207203401"/>
      <w:r>
        <w:t>En cas de vente entre personnes d’une même famille:</w:t>
      </w:r>
      <w:bookmarkEnd w:id="19"/>
    </w:p>
    <w:p w14:paraId="5EEA1E6D" w14:textId="77777777" w:rsidR="00867D8F" w:rsidRPr="008F0E8E" w:rsidRDefault="00867D8F" w:rsidP="008F0E8E">
      <w:pPr>
        <w:pStyle w:val="CGPC-elearning"/>
      </w:pPr>
      <w:r w:rsidRPr="008F0E8E">
        <w:t>Le droit de préemption n’est pas applicable aux situations où le propriétaire bailleur souhaite vendre le bien à un de ses parents.</w:t>
      </w:r>
    </w:p>
    <w:p w14:paraId="569E2C37" w14:textId="77777777" w:rsidR="00867D8F" w:rsidRPr="008F0E8E" w:rsidRDefault="00867D8F" w:rsidP="008F0E8E">
      <w:pPr>
        <w:pStyle w:val="CGPC-elearning"/>
      </w:pPr>
      <w:r w:rsidRPr="008F0E8E">
        <w:t>Cette dérogation est offerte aux parents ou alliés jusqu’au troisième degré inclus, c’est-à-dire les neveux et nièces, les oncles et tantes, arrière-grands-parents, cousins germains.</w:t>
      </w:r>
    </w:p>
    <w:p w14:paraId="0D13140C" w14:textId="77777777" w:rsidR="00867D8F" w:rsidRPr="008F0E8E" w:rsidRDefault="00867D8F" w:rsidP="008F0E8E">
      <w:pPr>
        <w:pStyle w:val="CGPC-elearning"/>
      </w:pPr>
      <w:r w:rsidRPr="008F0E8E">
        <w:t>Dans ces circonstances, votre propriétaire bailleur pourra se dispenser de vous notifier le contrat de vente.</w:t>
      </w:r>
    </w:p>
    <w:p w14:paraId="2FF4D093" w14:textId="77777777" w:rsidR="00867D8F" w:rsidRPr="008F0E8E" w:rsidRDefault="00867D8F" w:rsidP="008F0E8E">
      <w:pPr>
        <w:pStyle w:val="CGPC-elearning"/>
      </w:pPr>
      <w:r w:rsidRPr="008F0E8E">
        <w:t> </w:t>
      </w:r>
    </w:p>
    <w:p w14:paraId="5DF2646D" w14:textId="77777777" w:rsidR="00867D8F" w:rsidRDefault="00867D8F" w:rsidP="00715252">
      <w:pPr>
        <w:pStyle w:val="Titre3"/>
      </w:pPr>
      <w:bookmarkStart w:id="20" w:name="_Toc207203402"/>
      <w:r>
        <w:t>En cas d’immeuble vétuste:</w:t>
      </w:r>
      <w:bookmarkEnd w:id="20"/>
    </w:p>
    <w:p w14:paraId="37039F50" w14:textId="77777777" w:rsidR="00867D8F" w:rsidRPr="008F0E8E" w:rsidRDefault="00867D8F" w:rsidP="008F0E8E">
      <w:pPr>
        <w:pStyle w:val="CGPC-elearning"/>
      </w:pPr>
      <w:r w:rsidRPr="008F0E8E">
        <w:t>Le droit de préemption ne s’appliquera pas pour les ventes concernant des immeubles jugés insalubres, où pour les immeubles comportant au moins pour le quart de leur superficie totale des logements loués ou classés dans la catégorie IV de la loi du 1er septembre 1948.</w:t>
      </w:r>
    </w:p>
    <w:p w14:paraId="21038141" w14:textId="77777777" w:rsidR="00867D8F" w:rsidRPr="008F0E8E" w:rsidRDefault="00867D8F" w:rsidP="008F0E8E">
      <w:pPr>
        <w:pStyle w:val="CGPC-elearning"/>
      </w:pPr>
      <w:r w:rsidRPr="008F0E8E">
        <w:t> </w:t>
      </w:r>
    </w:p>
    <w:p w14:paraId="1E824F24" w14:textId="77777777" w:rsidR="00867D8F" w:rsidRDefault="00867D8F" w:rsidP="00715252">
      <w:pPr>
        <w:pStyle w:val="Titre3"/>
      </w:pPr>
      <w:bookmarkStart w:id="21" w:name="_Toc207203403"/>
      <w:r>
        <w:lastRenderedPageBreak/>
        <w:t>En cas de location meublée ou de courte durée:</w:t>
      </w:r>
      <w:bookmarkEnd w:id="21"/>
    </w:p>
    <w:p w14:paraId="5ADC1CE3" w14:textId="28687A9C" w:rsidR="00867D8F" w:rsidRPr="008F0E8E" w:rsidRDefault="00867D8F" w:rsidP="008F0E8E">
      <w:pPr>
        <w:pStyle w:val="CGPC-elearning"/>
      </w:pPr>
      <w:r w:rsidRPr="008F0E8E">
        <w:t>Pour bénéficier du droit de préemption, il faut être titulaire d’un bail de location vide.  En sont alors exclus les locataires disposant d’un bail meublé (d’une durée d’un an en général) ou d’un bail correspondant à une location saisonnière.</w:t>
      </w:r>
    </w:p>
    <w:p w14:paraId="494D17A4" w14:textId="38D45CB6" w:rsidR="008F0E8E" w:rsidRDefault="008F0E8E">
      <w:pPr>
        <w:jc w:val="left"/>
        <w:rPr>
          <w:rFonts w:cs="Open Sans"/>
          <w:bCs/>
          <w:kern w:val="2"/>
          <w:szCs w:val="36"/>
          <w14:ligatures w14:val="standardContextual"/>
        </w:rPr>
      </w:pPr>
      <w:r>
        <w:br w:type="page"/>
      </w:r>
    </w:p>
    <w:p w14:paraId="5D62D18A" w14:textId="4E15AA7B" w:rsidR="00365D35" w:rsidRDefault="00365D35" w:rsidP="00365D35">
      <w:pPr>
        <w:rPr>
          <w:sz w:val="56"/>
          <w:szCs w:val="56"/>
        </w:rPr>
      </w:pPr>
      <w:r>
        <w:rPr>
          <w:noProof/>
          <w:sz w:val="56"/>
          <w:szCs w:val="56"/>
          <w14:ligatures w14:val="standardContextual"/>
        </w:rPr>
        <w:lastRenderedPageBreak/>
        <mc:AlternateContent>
          <mc:Choice Requires="wps">
            <w:drawing>
              <wp:anchor distT="0" distB="0" distL="114300" distR="114300" simplePos="0" relativeHeight="251662336" behindDoc="1" locked="0" layoutInCell="1" allowOverlap="1" wp14:anchorId="303A0E45" wp14:editId="1A022AA1">
                <wp:simplePos x="0" y="0"/>
                <wp:positionH relativeFrom="column">
                  <wp:posOffset>-914400</wp:posOffset>
                </wp:positionH>
                <wp:positionV relativeFrom="paragraph">
                  <wp:posOffset>-93980</wp:posOffset>
                </wp:positionV>
                <wp:extent cx="15030450" cy="8877300"/>
                <wp:effectExtent l="0" t="0" r="19050" b="19050"/>
                <wp:wrapNone/>
                <wp:docPr id="1319379115" name="Rectangle 6"/>
                <wp:cNvGraphicFramePr/>
                <a:graphic xmlns:a="http://schemas.openxmlformats.org/drawingml/2006/main">
                  <a:graphicData uri="http://schemas.microsoft.com/office/word/2010/wordprocessingShape">
                    <wps:wsp>
                      <wps:cNvSpPr/>
                      <wps:spPr>
                        <a:xfrm>
                          <a:off x="0" y="0"/>
                          <a:ext cx="15030450" cy="8877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78AB5E" id="Rectangle 6" o:spid="_x0000_s1026" style="position:absolute;margin-left:-1in;margin-top:-7.4pt;width:1183.5pt;height:69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" fillcolor="#4472c4 [3204]" strokecolor="#09101d [484]" strokeweight="1pt"/>
            </w:pict>
          </mc:Fallback>
        </mc:AlternateContent>
      </w:r>
    </w:p>
    <w:p w14:paraId="2B328DBF" w14:textId="77777777" w:rsidR="00365D35" w:rsidRDefault="00365D35" w:rsidP="00365D35">
      <w:pPr>
        <w:rPr>
          <w:sz w:val="56"/>
          <w:szCs w:val="56"/>
        </w:rPr>
      </w:pPr>
    </w:p>
    <w:p w14:paraId="0C06A4E0" w14:textId="77777777" w:rsidR="00365D35" w:rsidRDefault="00365D35" w:rsidP="00365D35">
      <w:pPr>
        <w:rPr>
          <w:sz w:val="56"/>
          <w:szCs w:val="56"/>
        </w:rPr>
      </w:pPr>
    </w:p>
    <w:p w14:paraId="0B200EBC" w14:textId="77777777" w:rsidR="00365D35" w:rsidRDefault="00365D35" w:rsidP="00365D35">
      <w:pPr>
        <w:rPr>
          <w:sz w:val="56"/>
          <w:szCs w:val="56"/>
        </w:rPr>
      </w:pPr>
    </w:p>
    <w:p w14:paraId="655BDF0B" w14:textId="77777777" w:rsidR="00365D35" w:rsidRDefault="00365D35" w:rsidP="00365D35">
      <w:pPr>
        <w:rPr>
          <w:sz w:val="56"/>
          <w:szCs w:val="56"/>
        </w:rPr>
      </w:pPr>
    </w:p>
    <w:p w14:paraId="648829F1" w14:textId="77777777" w:rsidR="00365D35" w:rsidRDefault="00365D35" w:rsidP="00365D35">
      <w:pPr>
        <w:rPr>
          <w:sz w:val="56"/>
          <w:szCs w:val="56"/>
        </w:rPr>
      </w:pPr>
    </w:p>
    <w:p w14:paraId="2D90CCFD" w14:textId="1088A0A9" w:rsidR="00F5519A" w:rsidRPr="00365D35" w:rsidRDefault="00867D8F" w:rsidP="00365D35">
      <w:pPr>
        <w:pStyle w:val="Titre1"/>
      </w:pPr>
      <w:bookmarkStart w:id="22" w:name="_Toc207203404"/>
      <w:r w:rsidRPr="00365D35">
        <w:t>Les plus-values immobilières d’un bien démembré</w:t>
      </w:r>
      <w:bookmarkEnd w:id="22"/>
    </w:p>
    <w:p w14:paraId="654044E5" w14:textId="77777777" w:rsidR="006A5748" w:rsidRDefault="006A5748" w:rsidP="00F5519A">
      <w:pPr>
        <w:pStyle w:val="CGPC-elearning"/>
      </w:pPr>
    </w:p>
    <w:p w14:paraId="4EB5D953" w14:textId="2281B66D" w:rsidR="00867D8F" w:rsidRPr="00F5519A" w:rsidRDefault="00F5519A" w:rsidP="00F5519A">
      <w:pPr>
        <w:pStyle w:val="CGPC-elearning"/>
        <w:rPr>
          <w:rFonts w:eastAsiaTheme="majorEastAsia"/>
          <w:color w:val="3A5D9C"/>
          <w:sz w:val="44"/>
          <w:szCs w:val="26"/>
          <w:bdr w:val="none" w:sz="0" w:space="0" w:color="auto" w:frame="1"/>
        </w:rPr>
      </w:pPr>
      <w:r>
        <w:br w:type="page"/>
      </w:r>
    </w:p>
    <w:p w14:paraId="66152337" w14:textId="5F1508F0"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p>
    <w:p w14:paraId="53F4DA0F" w14:textId="77777777"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r>
        <w:rPr>
          <w:rFonts w:ascii="Open Sans" w:hAnsi="Open Sans" w:cs="Open Sans"/>
          <w:color w:val="666666"/>
          <w:sz w:val="21"/>
          <w:szCs w:val="21"/>
        </w:rPr>
        <w:t> </w:t>
      </w:r>
    </w:p>
    <w:p w14:paraId="735E4C8F" w14:textId="77777777" w:rsidR="00867D8F" w:rsidRDefault="00867D8F" w:rsidP="00715252">
      <w:pPr>
        <w:pStyle w:val="Titre2"/>
      </w:pPr>
      <w:bookmarkStart w:id="23" w:name="_Toc207203405"/>
      <w:r>
        <w:t>La cession isolée de l’usufruit et de la nue-propriété</w:t>
      </w:r>
      <w:bookmarkEnd w:id="23"/>
    </w:p>
    <w:p w14:paraId="03AC055C" w14:textId="77777777" w:rsidR="00867D8F" w:rsidRPr="008F0E8E" w:rsidRDefault="00867D8F" w:rsidP="008F0E8E">
      <w:pPr>
        <w:pStyle w:val="CGPC-elearning"/>
      </w:pPr>
      <w:r w:rsidRPr="008F0E8E">
        <w:t>Lorsque les cessions portent sur des droits démembrés, la détermination de la plus-value immobilière répond à des règles spécifiques suivant les différents cas de figure :</w:t>
      </w:r>
    </w:p>
    <w:p w14:paraId="79565430" w14:textId="77777777" w:rsidR="00867D8F" w:rsidRPr="008F0E8E" w:rsidRDefault="00867D8F" w:rsidP="008F0E8E">
      <w:pPr>
        <w:pStyle w:val="CGPC-elearning"/>
      </w:pPr>
      <w:r w:rsidRPr="008F0E8E">
        <w:t>lorsque l’usufruit ou la nue-propriété ont été acquis isolément, la plus-value correspond à la différence entre le prix de cession et le prix d’acquisition (valeur vénale si le bien a été acquis à titre gratuit) ;</w:t>
      </w:r>
    </w:p>
    <w:p w14:paraId="7FE8B75C" w14:textId="77777777" w:rsidR="00867D8F" w:rsidRPr="008F0E8E" w:rsidRDefault="00867D8F" w:rsidP="008F0E8E">
      <w:pPr>
        <w:pStyle w:val="CGPC-elearning"/>
      </w:pPr>
      <w:r w:rsidRPr="008F0E8E">
        <w:t>lorsque le bien a été acquis en pleine propriété, la plus-value correspond à la différence entre le prix de cession de la nue-propriété ou de l’usufruit et la fraction du prix d’acquisition calculée selon le barème de l’art. 669 du CGI ;</w:t>
      </w:r>
    </w:p>
    <w:p w14:paraId="1DCF436E" w14:textId="77777777" w:rsidR="00867D8F" w:rsidRPr="008F0E8E" w:rsidRDefault="00867D8F" w:rsidP="008F0E8E">
      <w:pPr>
        <w:pStyle w:val="CGPC-elearning"/>
      </w:pPr>
      <w:r w:rsidRPr="008F0E8E">
        <w:t>Lorsque la pleine propriété du bien a été acquise par réunion de la nue-propriété et de l’usufruit, 3 cas peuvent être distingués (avec retraitement éventuel des valeurs d’acquisition en application de l’article 669) :</w:t>
      </w:r>
    </w:p>
    <w:p w14:paraId="335A81F1" w14:textId="462284F6" w:rsidR="00867D8F" w:rsidRPr="008F0E8E" w:rsidRDefault="00867D8F" w:rsidP="008F0E8E">
      <w:pPr>
        <w:pStyle w:val="CGPC-elearning"/>
      </w:pPr>
      <w:r w:rsidRPr="008F0E8E">
        <w:t>La nue-propriété a été acquise par succession ou donation</w:t>
      </w:r>
      <w:r w:rsidR="000C00DE">
        <w:t xml:space="preserve"> </w:t>
      </w:r>
      <w:r w:rsidRPr="008F0E8E">
        <w:t>et l’usufruit par extinction naturelle au décès de l’usufruitier : la plus-value de cession de la nue-propriété correspond à la différence entre le prix de cession et la valeur d’acquisition retenue pour le calcul des droits de mutation à titre gratuit ; la plus-value de cession de l’usufruit est égale à la différence entre le prix de cession et la valeur de l’usufruit à l’origine du démembrement.</w:t>
      </w:r>
    </w:p>
    <w:p w14:paraId="3237D01F" w14:textId="77777777" w:rsidR="00867D8F" w:rsidRPr="008F0E8E" w:rsidRDefault="00867D8F" w:rsidP="008F0E8E">
      <w:pPr>
        <w:pStyle w:val="CGPC-elearning"/>
      </w:pPr>
      <w:r w:rsidRPr="008F0E8E">
        <w:t>La nue-propriété a été acquise à titre onéreux et l’usufruit par extinction naturelle au décès de l’usufruitier : la plus- value de cession de la nue-propriété correspond à la différence entre le prix de cession et le prix d’acquisition, alors que la plus-value de cession de l’usufruit représente le prix de cession (valeur d’acquisition nulle).</w:t>
      </w:r>
    </w:p>
    <w:p w14:paraId="2237F960" w14:textId="77777777" w:rsidR="00867D8F" w:rsidRPr="008F0E8E" w:rsidRDefault="00867D8F" w:rsidP="008F0E8E">
      <w:pPr>
        <w:pStyle w:val="CGPC-elearning"/>
      </w:pPr>
      <w:r w:rsidRPr="008F0E8E">
        <w:t>La nue-propriété et l’usufruit ont été acquis séparément à titre onéreux ou à titre gratuit : la plus-value correspond à la différence entre le prix de cession et le prix d’acquisition.</w:t>
      </w:r>
    </w:p>
    <w:p w14:paraId="58668F9F" w14:textId="77777777" w:rsidR="00867D8F" w:rsidRDefault="00867D8F" w:rsidP="00867D8F">
      <w:pPr>
        <w:pStyle w:val="NormalWeb"/>
        <w:spacing w:before="0" w:beforeAutospacing="0" w:after="0" w:afterAutospacing="0"/>
        <w:jc w:val="both"/>
        <w:textAlignment w:val="baseline"/>
        <w:rPr>
          <w:rFonts w:ascii="Open Sans" w:hAnsi="Open Sans" w:cs="Open Sans"/>
          <w:color w:val="666666"/>
          <w:sz w:val="21"/>
          <w:szCs w:val="21"/>
        </w:rPr>
      </w:pPr>
      <w:r>
        <w:rPr>
          <w:rFonts w:ascii="Open Sans" w:hAnsi="Open Sans" w:cs="Open Sans"/>
          <w:color w:val="666666"/>
          <w:sz w:val="21"/>
          <w:szCs w:val="21"/>
        </w:rPr>
        <w:t> </w:t>
      </w:r>
    </w:p>
    <w:p w14:paraId="71A0A5FE" w14:textId="77777777" w:rsidR="00867D8F" w:rsidRDefault="00867D8F" w:rsidP="00715252">
      <w:pPr>
        <w:pStyle w:val="Titre2"/>
      </w:pPr>
      <w:bookmarkStart w:id="24" w:name="_Toc207203406"/>
      <w:r>
        <w:lastRenderedPageBreak/>
        <w:t>La cession de la pleine propriété de l’immeuble dont l’usufruit et la nue-propriété appartiennent à deux personnes différentes</w:t>
      </w:r>
      <w:bookmarkEnd w:id="24"/>
    </w:p>
    <w:p w14:paraId="3B0CFC4E" w14:textId="77777777" w:rsidR="00867D8F" w:rsidRPr="008F0E8E" w:rsidRDefault="00867D8F" w:rsidP="008F0E8E">
      <w:pPr>
        <w:pStyle w:val="CGPC-elearning"/>
      </w:pPr>
      <w:r w:rsidRPr="008F0E8E">
        <w:t>La plus-value est répartie entre les différents propriétaires au prorata de la valeur de leurs droits. Le prix de vente est ventilé en fonction de l’estimation économique ou par application de l’art. 669 du CGI. Le prix d’acquisition retenu est celui qui a servi pour les droits de mutation (droits acquis à titre gratuit) ou celui qui a été effectivement versé (droits acquis à titre onéreux).</w:t>
      </w:r>
    </w:p>
    <w:p w14:paraId="7C382010" w14:textId="77777777" w:rsidR="00867D8F" w:rsidRPr="008F0E8E" w:rsidRDefault="00867D8F" w:rsidP="008F0E8E">
      <w:pPr>
        <w:pStyle w:val="CGPC-elearning"/>
      </w:pPr>
      <w:r w:rsidRPr="008F0E8E">
        <w:t> </w:t>
      </w:r>
    </w:p>
    <w:p w14:paraId="1032FCF4" w14:textId="77777777" w:rsidR="00867D8F" w:rsidRDefault="00867D8F" w:rsidP="00715252">
      <w:pPr>
        <w:pStyle w:val="Titre2"/>
      </w:pPr>
      <w:bookmarkStart w:id="25" w:name="_Toc207203407"/>
      <w:r>
        <w:t>La cession de la pleine propriété de l’immeuble après réunion de la nue-propriété et de l’usufruit sur la tête du cédant</w:t>
      </w:r>
      <w:bookmarkEnd w:id="25"/>
    </w:p>
    <w:p w14:paraId="0F1EC8ED" w14:textId="77777777" w:rsidR="00867D8F" w:rsidRPr="008F0E8E" w:rsidRDefault="00867D8F" w:rsidP="008F0E8E">
      <w:pPr>
        <w:pStyle w:val="CGPC-elearning"/>
      </w:pPr>
      <w:r w:rsidRPr="008F0E8E">
        <w:t>Différents cas doivent être distingués :</w:t>
      </w:r>
    </w:p>
    <w:p w14:paraId="2B0EECFD" w14:textId="705D3DEC" w:rsidR="00867D8F" w:rsidRPr="008F0E8E" w:rsidRDefault="00867D8F" w:rsidP="008F0E8E">
      <w:pPr>
        <w:pStyle w:val="CGPC-elearning"/>
      </w:pPr>
      <w:r w:rsidRPr="008F0E8E">
        <w:t xml:space="preserve">si la </w:t>
      </w:r>
      <w:r w:rsidR="008F0E8E" w:rsidRPr="008F0E8E">
        <w:t>nue-propriété</w:t>
      </w:r>
      <w:r w:rsidRPr="008F0E8E">
        <w:t xml:space="preserve"> a été acquise à titre gratuit (donation ou succession) ou à titre onéreux et l’usufruit par extinction naturelle : l’administration fiscale  admet que le calcul de la plus-value soit effectuée à partir de la valeur vénale de la pleine propriété du bien à la date d’entrée de la nue-propriété dans le patrimoine du cédant ;</w:t>
      </w:r>
    </w:p>
    <w:p w14:paraId="76A664EC" w14:textId="77777777" w:rsidR="00867D8F" w:rsidRPr="008F0E8E" w:rsidRDefault="00867D8F" w:rsidP="008F0E8E">
      <w:pPr>
        <w:pStyle w:val="CGPC-elearning"/>
      </w:pPr>
      <w:r w:rsidRPr="008F0E8E">
        <w:t>si la nue-propriété et l’usufruit ont été acquis à titre gratuit: on tient compte de la somme des valeurs vénales retenues lors de chaque mutation (donation ou succession) ;</w:t>
      </w:r>
    </w:p>
    <w:p w14:paraId="687AA8B8" w14:textId="77777777" w:rsidR="00867D8F" w:rsidRPr="008F0E8E" w:rsidRDefault="00867D8F" w:rsidP="008F0E8E">
      <w:pPr>
        <w:pStyle w:val="CGPC-elearning"/>
      </w:pPr>
      <w:r w:rsidRPr="008F0E8E">
        <w:t>si la nue-propriété et l’usufruit ont été acquis à titre onéreux :on tient compte des prix d’acquisition des deux droits démembrés ;</w:t>
      </w:r>
    </w:p>
    <w:p w14:paraId="44A785C4" w14:textId="77777777" w:rsidR="00867D8F" w:rsidRPr="008F0E8E" w:rsidRDefault="00867D8F" w:rsidP="008F0E8E">
      <w:pPr>
        <w:pStyle w:val="CGPC-elearning"/>
      </w:pPr>
      <w:r w:rsidRPr="008F0E8E">
        <w:t>Si la nue-propriété a été acquise à titre gratuit et l’usufruit à titre onéreux : le prix d’acquisition est égal à la somme de la valeur de la nue-propriété retenue pour la donation ou la succession et du prix d’acquisition de l’usufruit.</w:t>
      </w:r>
    </w:p>
    <w:p w14:paraId="5DD4A932" w14:textId="3CFA9D5C" w:rsidR="00C12BC9" w:rsidRPr="008F0E8E" w:rsidRDefault="00C12BC9" w:rsidP="008F0E8E">
      <w:pPr>
        <w:pStyle w:val="CGPC-elearning"/>
      </w:pPr>
    </w:p>
    <w:sectPr w:rsidR="00C12BC9" w:rsidRPr="008F0E8E" w:rsidSect="00E46C58">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A75097" w14:textId="77777777" w:rsidR="002020F9" w:rsidRDefault="002020F9" w:rsidP="002020F9">
      <w:pPr>
        <w:spacing w:after="0" w:line="240" w:lineRule="auto"/>
      </w:pPr>
      <w:r>
        <w:separator/>
      </w:r>
    </w:p>
  </w:endnote>
  <w:endnote w:type="continuationSeparator" w:id="0">
    <w:p w14:paraId="6150A39E" w14:textId="77777777" w:rsidR="002020F9" w:rsidRDefault="002020F9"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CB6F9C0-D98A-41F8-BFB4-C61485E74104}"/>
    <w:embedBold r:id="rId2" w:fontKey="{5E7B9835-A857-4CD0-8C32-A7FFCB28ADD0}"/>
    <w:embedItalic r:id="rId3" w:fontKey="{BE5A7999-636B-4784-A357-50658057A296}"/>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4" w:fontKey="{CB32341F-E488-4FBB-ACAD-F18E2A2FA395}"/>
    <w:embedBold r:id="rId5" w:fontKey="{A173D2F9-97C5-447E-8B1A-074291AA8098}"/>
    <w:embedItalic r:id="rId6" w:fontKey="{C1FBAB58-0D38-47A3-B5C7-DA5259785620}"/>
    <w:embedBoldItalic r:id="rId7" w:fontKey="{CED92BC3-FD58-4A6B-AB4F-F1A46851DEB0}"/>
  </w:font>
  <w:font w:name="Calibri Light">
    <w:panose1 w:val="020F0302020204030204"/>
    <w:charset w:val="00"/>
    <w:family w:val="swiss"/>
    <w:pitch w:val="variable"/>
    <w:sig w:usb0="E4002EFF" w:usb1="C200247B" w:usb2="00000009" w:usb3="00000000" w:csb0="000001FF" w:csb1="00000000"/>
    <w:embedRegular r:id="rId8" w:fontKey="{E3D28A79-F797-478A-BF29-CC7C14914E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8758" w14:textId="77777777" w:rsidR="007F0724" w:rsidRDefault="007F0724">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5724896"/>
      <w:docPartObj>
        <w:docPartGallery w:val="Page Numbers (Bottom of Page)"/>
        <w:docPartUnique/>
      </w:docPartObj>
    </w:sdtPr>
    <w:sdtEndPr/>
    <w:sdtContent>
      <w:p w14:paraId="0FB9FBF9" w14:textId="3A348FDA" w:rsidR="005A33D6" w:rsidRPr="00EC26CF" w:rsidRDefault="00EC26CF" w:rsidP="00EC26CF">
        <w:pPr>
          <w:pStyle w:val="Pieddepage"/>
        </w:pPr>
        <w:r>
          <w:fldChar w:fldCharType="begin"/>
        </w:r>
        <w:r>
          <w:instrText>PAGE   \* MERGEFORMAT</w:instrText>
        </w:r>
        <w:r>
          <w:fldChar w:fldCharType="separate"/>
        </w:r>
        <w:r>
          <w:t>1</w:t>
        </w:r>
        <w:r>
          <w:fldChar w:fldCharType="end"/>
        </w:r>
        <w:r>
          <w:t xml:space="preserve"> </w:t>
        </w:r>
        <w:r w:rsidRPr="00FC5DB0">
          <w:rPr>
            <w:sz w:val="22"/>
          </w:rPr>
          <w:t>Copyright© CGPC Développement®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8416148"/>
      <w:docPartObj>
        <w:docPartGallery w:val="Page Numbers (Bottom of Page)"/>
        <w:docPartUnique/>
      </w:docPartObj>
    </w:sdtPr>
    <w:sdtContent>
      <w:p w14:paraId="2B1861A5" w14:textId="77777777" w:rsidR="007F0724" w:rsidRPr="00EC26CF" w:rsidRDefault="007F0724" w:rsidP="007F0724">
        <w:pPr>
          <w:pStyle w:val="Pieddepage"/>
        </w:pPr>
        <w:r>
          <w:fldChar w:fldCharType="begin"/>
        </w:r>
        <w:r>
          <w:instrText>PAGE   \* MERGEFORMAT</w:instrText>
        </w:r>
        <w:r>
          <w:fldChar w:fldCharType="separate"/>
        </w:r>
        <w:r>
          <w:t>2</w:t>
        </w:r>
        <w:r>
          <w:fldChar w:fldCharType="end"/>
        </w:r>
        <w:r>
          <w:t xml:space="preserve"> </w:t>
        </w:r>
        <w:r w:rsidRPr="00FC5DB0">
          <w:rPr>
            <w:sz w:val="22"/>
          </w:rPr>
          <w:t>Copyright© CGPC Développement®</w:t>
        </w:r>
      </w:p>
    </w:sdtContent>
  </w:sdt>
  <w:p w14:paraId="5E05D239" w14:textId="77777777" w:rsidR="007F0724" w:rsidRDefault="007F072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544F4" w14:textId="77777777" w:rsidR="002020F9" w:rsidRDefault="002020F9" w:rsidP="002020F9">
      <w:pPr>
        <w:spacing w:after="0" w:line="240" w:lineRule="auto"/>
      </w:pPr>
      <w:r>
        <w:separator/>
      </w:r>
    </w:p>
  </w:footnote>
  <w:footnote w:type="continuationSeparator" w:id="0">
    <w:p w14:paraId="51BD44A4" w14:textId="77777777" w:rsidR="002020F9" w:rsidRDefault="002020F9"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A9A2B" w14:textId="77777777" w:rsidR="007F0724" w:rsidRDefault="007F0724">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44A56" w14:textId="085216FA" w:rsidR="00884973" w:rsidRDefault="00884973">
    <w:pPr>
      <w:pStyle w:val="En-tte"/>
    </w:pPr>
    <w:r>
      <w:rPr>
        <w:noProof/>
      </w:rPr>
      <mc:AlternateContent>
        <mc:Choice Requires="wps">
          <w:drawing>
            <wp:anchor distT="0" distB="0" distL="118745" distR="118745" simplePos="0" relativeHeight="251659264" behindDoc="1" locked="0" layoutInCell="1" allowOverlap="0" wp14:anchorId="5048357C" wp14:editId="7D38A684">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6E739B2" w14:textId="369479F7" w:rsidR="00884973" w:rsidRDefault="00C66239">
                              <w:pPr>
                                <w:pStyle w:val="En-tte"/>
                                <w:jc w:val="center"/>
                                <w:rPr>
                                  <w:caps/>
                                  <w:color w:val="FFFFFF" w:themeColor="background1"/>
                                </w:rPr>
                              </w:pPr>
                              <w:r>
                                <w:rPr>
                                  <w:caps/>
                                  <w:color w:val="FFFFFF" w:themeColor="background1"/>
                                </w:rPr>
                                <w:t>Chapitre 2 :  Les régimes des plus-values immobilières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048357C"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6E739B2" w14:textId="369479F7" w:rsidR="00884973" w:rsidRDefault="00C66239">
                        <w:pPr>
                          <w:pStyle w:val="En-tte"/>
                          <w:jc w:val="center"/>
                          <w:rPr>
                            <w:caps/>
                            <w:color w:val="FFFFFF" w:themeColor="background1"/>
                          </w:rPr>
                        </w:pPr>
                        <w:r>
                          <w:rPr>
                            <w:caps/>
                            <w:color w:val="FFFFFF" w:themeColor="background1"/>
                          </w:rPr>
                          <w:t>Chapitre 2 :  Les régimes des plus-values immobilières</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97832" w14:textId="421F745D" w:rsidR="00365D35" w:rsidRDefault="00365D35">
    <w:pPr>
      <w:pStyle w:val="En-tte"/>
    </w:pPr>
    <w:r>
      <w:rPr>
        <w:noProof/>
      </w:rPr>
      <mc:AlternateContent>
        <mc:Choice Requires="wps">
          <w:drawing>
            <wp:anchor distT="0" distB="0" distL="118745" distR="118745" simplePos="0" relativeHeight="251661312" behindDoc="1" locked="0" layoutInCell="1" allowOverlap="0" wp14:anchorId="4BBFF9D6" wp14:editId="1EE06FB8">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56471248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326115107"/>
                            <w:dataBinding w:prefixMappings="xmlns:ns0='http://purl.org/dc/elements/1.1/' xmlns:ns1='http://schemas.openxmlformats.org/package/2006/metadata/core-properties' " w:xpath="/ns1:coreProperties[1]/ns0:title[1]" w:storeItemID="{6C3C8BC8-F283-45AE-878A-BAB7291924A1}"/>
                            <w:text/>
                          </w:sdtPr>
                          <w:sdtEndPr/>
                          <w:sdtContent>
                            <w:p w14:paraId="362A5EF4" w14:textId="21048794" w:rsidR="00365D35" w:rsidRDefault="00C66239">
                              <w:pPr>
                                <w:pStyle w:val="En-tte"/>
                                <w:jc w:val="center"/>
                                <w:rPr>
                                  <w:caps/>
                                  <w:color w:val="FFFFFF" w:themeColor="background1"/>
                                </w:rPr>
                              </w:pPr>
                              <w:r>
                                <w:rPr>
                                  <w:caps/>
                                  <w:color w:val="FFFFFF" w:themeColor="background1"/>
                                </w:rPr>
                                <w:t>Chapitre 2 :  Les régimes des plus-values immobilières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4BBFF9D6" id="_x0000_s1027"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" o:allowoverlap="f" fillcolor="#4472c4 [3204]" stroked="f" strokeweight="1pt">
              <v:textbox style="mso-fit-shape-to-text:t">
                <w:txbxContent>
                  <w:sdt>
                    <w:sdtPr>
                      <w:rPr>
                        <w:caps/>
                        <w:color w:val="FFFFFF" w:themeColor="background1"/>
                      </w:rPr>
                      <w:alias w:val="Titre"/>
                      <w:tag w:val=""/>
                      <w:id w:val="-1326115107"/>
                      <w:dataBinding w:prefixMappings="xmlns:ns0='http://purl.org/dc/elements/1.1/' xmlns:ns1='http://schemas.openxmlformats.org/package/2006/metadata/core-properties' " w:xpath="/ns1:coreProperties[1]/ns0:title[1]" w:storeItemID="{6C3C8BC8-F283-45AE-878A-BAB7291924A1}"/>
                      <w:text/>
                    </w:sdtPr>
                    <w:sdtEndPr/>
                    <w:sdtContent>
                      <w:p w14:paraId="362A5EF4" w14:textId="21048794" w:rsidR="00365D35" w:rsidRDefault="00C66239">
                        <w:pPr>
                          <w:pStyle w:val="En-tte"/>
                          <w:jc w:val="center"/>
                          <w:rPr>
                            <w:caps/>
                            <w:color w:val="FFFFFF" w:themeColor="background1"/>
                          </w:rPr>
                        </w:pPr>
                        <w:r>
                          <w:rPr>
                            <w:caps/>
                            <w:color w:val="FFFFFF" w:themeColor="background1"/>
                          </w:rPr>
                          <w:t>Chapitre 2 :  Les régimes des plus-values immobilières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834BC"/>
    <w:multiLevelType w:val="multilevel"/>
    <w:tmpl w:val="C0144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7B64B1"/>
    <w:multiLevelType w:val="multilevel"/>
    <w:tmpl w:val="36584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D63875"/>
    <w:multiLevelType w:val="hybridMultilevel"/>
    <w:tmpl w:val="23CC9FAA"/>
    <w:lvl w:ilvl="0" w:tplc="806ADDD2">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08856F1"/>
    <w:multiLevelType w:val="hybridMultilevel"/>
    <w:tmpl w:val="73C27302"/>
    <w:lvl w:ilvl="0" w:tplc="70B8B224">
      <w:start w:val="1"/>
      <w:numFmt w:val="upperLetter"/>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086FDA"/>
    <w:multiLevelType w:val="multilevel"/>
    <w:tmpl w:val="7616B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59C3A56"/>
    <w:multiLevelType w:val="multilevel"/>
    <w:tmpl w:val="46BE6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0A3EA6"/>
    <w:multiLevelType w:val="multilevel"/>
    <w:tmpl w:val="3B128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EF50D3"/>
    <w:multiLevelType w:val="multilevel"/>
    <w:tmpl w:val="DC96F0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9B6261"/>
    <w:multiLevelType w:val="multilevel"/>
    <w:tmpl w:val="EE142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4FA1526"/>
    <w:multiLevelType w:val="multilevel"/>
    <w:tmpl w:val="18780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6E076D2"/>
    <w:multiLevelType w:val="multilevel"/>
    <w:tmpl w:val="2FF2A5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E7B24B8"/>
    <w:multiLevelType w:val="hybridMultilevel"/>
    <w:tmpl w:val="E93C4E96"/>
    <w:lvl w:ilvl="0" w:tplc="3232292E">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3" w15:restartNumberingAfterBreak="0">
    <w:nsid w:val="3F8B7DA9"/>
    <w:multiLevelType w:val="multilevel"/>
    <w:tmpl w:val="FFD4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0F70408"/>
    <w:multiLevelType w:val="multilevel"/>
    <w:tmpl w:val="A8B0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4314407"/>
    <w:multiLevelType w:val="multilevel"/>
    <w:tmpl w:val="0302A0E4"/>
    <w:lvl w:ilvl="0">
      <w:start w:val="1"/>
      <w:numFmt w:val="decimal"/>
      <w:pStyle w:val="Titre2"/>
      <w:lvlText w:val="%1."/>
      <w:lvlJc w:val="left"/>
      <w:pPr>
        <w:ind w:left="717"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16" w15:restartNumberingAfterBreak="0">
    <w:nsid w:val="4C2E3C63"/>
    <w:multiLevelType w:val="multilevel"/>
    <w:tmpl w:val="B6AC5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6E67036"/>
    <w:multiLevelType w:val="multilevel"/>
    <w:tmpl w:val="094AD9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A652186"/>
    <w:multiLevelType w:val="multilevel"/>
    <w:tmpl w:val="969A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F4A5679"/>
    <w:multiLevelType w:val="multilevel"/>
    <w:tmpl w:val="462EE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0D33E03"/>
    <w:multiLevelType w:val="multilevel"/>
    <w:tmpl w:val="97AC0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3E341AA"/>
    <w:multiLevelType w:val="multilevel"/>
    <w:tmpl w:val="9E84D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3F01C92"/>
    <w:multiLevelType w:val="multilevel"/>
    <w:tmpl w:val="A0E4E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49964BD"/>
    <w:multiLevelType w:val="multilevel"/>
    <w:tmpl w:val="DA4C1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97B3B61"/>
    <w:multiLevelType w:val="multilevel"/>
    <w:tmpl w:val="8AF67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D4D571A"/>
    <w:multiLevelType w:val="multilevel"/>
    <w:tmpl w:val="A386F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15"/>
  </w:num>
  <w:num w:numId="2" w16cid:durableId="1427118286">
    <w:abstractNumId w:val="12"/>
  </w:num>
  <w:num w:numId="3" w16cid:durableId="1858275718">
    <w:abstractNumId w:val="3"/>
  </w:num>
  <w:num w:numId="4" w16cid:durableId="1906524701">
    <w:abstractNumId w:val="8"/>
  </w:num>
  <w:num w:numId="5" w16cid:durableId="364714694">
    <w:abstractNumId w:val="0"/>
  </w:num>
  <w:num w:numId="6" w16cid:durableId="178013048">
    <w:abstractNumId w:val="20"/>
  </w:num>
  <w:num w:numId="7" w16cid:durableId="1296065283">
    <w:abstractNumId w:val="5"/>
  </w:num>
  <w:num w:numId="8" w16cid:durableId="1398093355">
    <w:abstractNumId w:val="10"/>
  </w:num>
  <w:num w:numId="9" w16cid:durableId="412823327">
    <w:abstractNumId w:val="13"/>
  </w:num>
  <w:num w:numId="10" w16cid:durableId="538201712">
    <w:abstractNumId w:val="23"/>
  </w:num>
  <w:num w:numId="11" w16cid:durableId="38171134">
    <w:abstractNumId w:val="17"/>
  </w:num>
  <w:num w:numId="12" w16cid:durableId="1053117120">
    <w:abstractNumId w:val="25"/>
  </w:num>
  <w:num w:numId="13" w16cid:durableId="1657953410">
    <w:abstractNumId w:val="19"/>
  </w:num>
  <w:num w:numId="14" w16cid:durableId="1286426413">
    <w:abstractNumId w:val="7"/>
  </w:num>
  <w:num w:numId="15" w16cid:durableId="1090660050">
    <w:abstractNumId w:val="1"/>
  </w:num>
  <w:num w:numId="16" w16cid:durableId="922563648">
    <w:abstractNumId w:val="4"/>
  </w:num>
  <w:num w:numId="17" w16cid:durableId="739404691">
    <w:abstractNumId w:val="24"/>
  </w:num>
  <w:num w:numId="18" w16cid:durableId="1044673675">
    <w:abstractNumId w:val="14"/>
  </w:num>
  <w:num w:numId="19" w16cid:durableId="1717898280">
    <w:abstractNumId w:val="16"/>
  </w:num>
  <w:num w:numId="20" w16cid:durableId="610942836">
    <w:abstractNumId w:val="6"/>
  </w:num>
  <w:num w:numId="21" w16cid:durableId="417794082">
    <w:abstractNumId w:val="22"/>
  </w:num>
  <w:num w:numId="22" w16cid:durableId="520050045">
    <w:abstractNumId w:val="9"/>
  </w:num>
  <w:num w:numId="23" w16cid:durableId="1906909654">
    <w:abstractNumId w:val="18"/>
  </w:num>
  <w:num w:numId="24" w16cid:durableId="419912538">
    <w:abstractNumId w:val="11"/>
  </w:num>
  <w:num w:numId="25" w16cid:durableId="775640794">
    <w:abstractNumId w:val="21"/>
  </w:num>
  <w:num w:numId="26" w16cid:durableId="1847207216">
    <w:abstractNumId w:val="12"/>
    <w:lvlOverride w:ilvl="0">
      <w:startOverride w:val="1"/>
    </w:lvlOverride>
  </w:num>
  <w:num w:numId="27" w16cid:durableId="957376875">
    <w:abstractNumId w:val="12"/>
    <w:lvlOverride w:ilvl="0">
      <w:startOverride w:val="1"/>
    </w:lvlOverride>
  </w:num>
  <w:num w:numId="28" w16cid:durableId="969477487">
    <w:abstractNumId w:val="3"/>
    <w:lvlOverride w:ilvl="0">
      <w:startOverride w:val="1"/>
    </w:lvlOverride>
  </w:num>
  <w:num w:numId="29" w16cid:durableId="1007976311">
    <w:abstractNumId w:val="12"/>
    <w:lvlOverride w:ilvl="0">
      <w:startOverride w:val="1"/>
    </w:lvlOverride>
  </w:num>
  <w:num w:numId="30" w16cid:durableId="981498806">
    <w:abstractNumId w:val="12"/>
    <w:lvlOverride w:ilvl="0">
      <w:startOverride w:val="1"/>
    </w:lvlOverride>
  </w:num>
  <w:num w:numId="31" w16cid:durableId="1873571049">
    <w:abstractNumId w:val="3"/>
    <w:lvlOverride w:ilvl="0">
      <w:startOverride w:val="1"/>
    </w:lvlOverride>
  </w:num>
  <w:num w:numId="32" w16cid:durableId="1410927663">
    <w:abstractNumId w:val="3"/>
    <w:lvlOverride w:ilvl="0">
      <w:startOverride w:val="1"/>
    </w:lvlOverride>
  </w:num>
  <w:num w:numId="33" w16cid:durableId="1729261469">
    <w:abstractNumId w:val="3"/>
    <w:lvlOverride w:ilvl="0">
      <w:startOverride w:val="1"/>
    </w:lvlOverride>
  </w:num>
  <w:num w:numId="34" w16cid:durableId="17091849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29858694">
    <w:abstractNumId w:val="3"/>
    <w:lvlOverride w:ilvl="0">
      <w:startOverride w:val="1"/>
    </w:lvlOverride>
  </w:num>
  <w:num w:numId="36" w16cid:durableId="811290796">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08"/>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1567E"/>
    <w:rsid w:val="00022E8B"/>
    <w:rsid w:val="00074CCE"/>
    <w:rsid w:val="00075E24"/>
    <w:rsid w:val="00097A69"/>
    <w:rsid w:val="000B6DB6"/>
    <w:rsid w:val="000C00DE"/>
    <w:rsid w:val="000C2B3F"/>
    <w:rsid w:val="000C5F54"/>
    <w:rsid w:val="000D66E0"/>
    <w:rsid w:val="000E46A3"/>
    <w:rsid w:val="00101D52"/>
    <w:rsid w:val="001238EF"/>
    <w:rsid w:val="001525E5"/>
    <w:rsid w:val="00196F86"/>
    <w:rsid w:val="001E58CB"/>
    <w:rsid w:val="002005BB"/>
    <w:rsid w:val="00200B59"/>
    <w:rsid w:val="002020F9"/>
    <w:rsid w:val="0021163B"/>
    <w:rsid w:val="00233D58"/>
    <w:rsid w:val="00281D43"/>
    <w:rsid w:val="002863E1"/>
    <w:rsid w:val="002B4201"/>
    <w:rsid w:val="002B65BE"/>
    <w:rsid w:val="002E7C98"/>
    <w:rsid w:val="0030508E"/>
    <w:rsid w:val="003056EF"/>
    <w:rsid w:val="00326184"/>
    <w:rsid w:val="00363866"/>
    <w:rsid w:val="00365D35"/>
    <w:rsid w:val="0036727B"/>
    <w:rsid w:val="00395D9F"/>
    <w:rsid w:val="00404785"/>
    <w:rsid w:val="00443B40"/>
    <w:rsid w:val="00451B43"/>
    <w:rsid w:val="0046546F"/>
    <w:rsid w:val="004C5E68"/>
    <w:rsid w:val="004F7075"/>
    <w:rsid w:val="00537F75"/>
    <w:rsid w:val="00552D7D"/>
    <w:rsid w:val="00563C2E"/>
    <w:rsid w:val="00566450"/>
    <w:rsid w:val="00566BDA"/>
    <w:rsid w:val="0057136E"/>
    <w:rsid w:val="0058472E"/>
    <w:rsid w:val="00593DBA"/>
    <w:rsid w:val="005941FD"/>
    <w:rsid w:val="005A33D6"/>
    <w:rsid w:val="005F0983"/>
    <w:rsid w:val="005F4529"/>
    <w:rsid w:val="005F74EB"/>
    <w:rsid w:val="00621D7A"/>
    <w:rsid w:val="00624CAE"/>
    <w:rsid w:val="0062781F"/>
    <w:rsid w:val="006325C6"/>
    <w:rsid w:val="00677448"/>
    <w:rsid w:val="006A5748"/>
    <w:rsid w:val="006E2203"/>
    <w:rsid w:val="006E661D"/>
    <w:rsid w:val="007075A7"/>
    <w:rsid w:val="00715252"/>
    <w:rsid w:val="00755B60"/>
    <w:rsid w:val="00760FB8"/>
    <w:rsid w:val="00780465"/>
    <w:rsid w:val="007A01E8"/>
    <w:rsid w:val="007A379E"/>
    <w:rsid w:val="007F0724"/>
    <w:rsid w:val="007F0F2B"/>
    <w:rsid w:val="00834AAF"/>
    <w:rsid w:val="0083792B"/>
    <w:rsid w:val="00867D8F"/>
    <w:rsid w:val="00884973"/>
    <w:rsid w:val="008D272E"/>
    <w:rsid w:val="008D4193"/>
    <w:rsid w:val="008F0E8E"/>
    <w:rsid w:val="00910D5B"/>
    <w:rsid w:val="00913774"/>
    <w:rsid w:val="00937625"/>
    <w:rsid w:val="009623ED"/>
    <w:rsid w:val="0097434E"/>
    <w:rsid w:val="00984F19"/>
    <w:rsid w:val="009A61A2"/>
    <w:rsid w:val="00A13493"/>
    <w:rsid w:val="00A66BB6"/>
    <w:rsid w:val="00A7577F"/>
    <w:rsid w:val="00A87FD6"/>
    <w:rsid w:val="00AA6E58"/>
    <w:rsid w:val="00AB5284"/>
    <w:rsid w:val="00AC08C0"/>
    <w:rsid w:val="00AC3233"/>
    <w:rsid w:val="00AC4FFD"/>
    <w:rsid w:val="00B0501B"/>
    <w:rsid w:val="00B10DE0"/>
    <w:rsid w:val="00B25AB9"/>
    <w:rsid w:val="00B34910"/>
    <w:rsid w:val="00B42117"/>
    <w:rsid w:val="00B5286C"/>
    <w:rsid w:val="00B630C8"/>
    <w:rsid w:val="00B75B22"/>
    <w:rsid w:val="00B8067C"/>
    <w:rsid w:val="00B81391"/>
    <w:rsid w:val="00B817AA"/>
    <w:rsid w:val="00B86CC4"/>
    <w:rsid w:val="00BC5E2D"/>
    <w:rsid w:val="00BE4788"/>
    <w:rsid w:val="00BF0420"/>
    <w:rsid w:val="00BF4DAF"/>
    <w:rsid w:val="00BF7C89"/>
    <w:rsid w:val="00C10087"/>
    <w:rsid w:val="00C10135"/>
    <w:rsid w:val="00C12BC9"/>
    <w:rsid w:val="00C17D12"/>
    <w:rsid w:val="00C3690F"/>
    <w:rsid w:val="00C37ABD"/>
    <w:rsid w:val="00C44C02"/>
    <w:rsid w:val="00C66239"/>
    <w:rsid w:val="00C82DC6"/>
    <w:rsid w:val="00C83889"/>
    <w:rsid w:val="00C86C18"/>
    <w:rsid w:val="00CC5221"/>
    <w:rsid w:val="00CD4C7F"/>
    <w:rsid w:val="00CE1F09"/>
    <w:rsid w:val="00D30A3F"/>
    <w:rsid w:val="00D4411D"/>
    <w:rsid w:val="00D5574B"/>
    <w:rsid w:val="00D654AD"/>
    <w:rsid w:val="00D7312E"/>
    <w:rsid w:val="00D812F3"/>
    <w:rsid w:val="00D84884"/>
    <w:rsid w:val="00DA320D"/>
    <w:rsid w:val="00DE3098"/>
    <w:rsid w:val="00DE7870"/>
    <w:rsid w:val="00E157CD"/>
    <w:rsid w:val="00E46C58"/>
    <w:rsid w:val="00E57CBB"/>
    <w:rsid w:val="00E678EF"/>
    <w:rsid w:val="00E8363C"/>
    <w:rsid w:val="00E96BE2"/>
    <w:rsid w:val="00EB02FF"/>
    <w:rsid w:val="00EB0768"/>
    <w:rsid w:val="00EC26CF"/>
    <w:rsid w:val="00EC355E"/>
    <w:rsid w:val="00EC652C"/>
    <w:rsid w:val="00ED4021"/>
    <w:rsid w:val="00F22A0B"/>
    <w:rsid w:val="00F5519A"/>
    <w:rsid w:val="00F65478"/>
    <w:rsid w:val="00FD73FA"/>
    <w:rsid w:val="00FE7C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C66239"/>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365D35"/>
    <w:pPr>
      <w:keepNext/>
      <w:keepLines/>
      <w:numPr>
        <w:numId w:val="4"/>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CGPC-elearning"/>
    <w:next w:val="Normal"/>
    <w:link w:val="Titre2Car"/>
    <w:autoRedefine/>
    <w:uiPriority w:val="9"/>
    <w:unhideWhenUsed/>
    <w:qFormat/>
    <w:rsid w:val="00715252"/>
    <w:pPr>
      <w:keepNext/>
      <w:keepLines/>
      <w:numPr>
        <w:numId w:val="1"/>
      </w:numPr>
      <w:shd w:val="clear" w:color="auto" w:fill="FFFFFF"/>
      <w:spacing w:before="600" w:after="200" w:line="240" w:lineRule="auto"/>
      <w:contextualSpacing/>
      <w:jc w:val="both"/>
      <w:textAlignment w:val="baseline"/>
      <w:outlineLvl w:val="1"/>
    </w:pPr>
    <w:rPr>
      <w:rFonts w:eastAsiaTheme="majorEastAsia"/>
      <w:b/>
      <w:color w:val="4472C4" w:themeColor="accent1"/>
      <w:sz w:val="52"/>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C66239"/>
    <w:pPr>
      <w:keepNext/>
      <w:keepLines/>
      <w:numPr>
        <w:numId w:val="3"/>
      </w:numPr>
      <w:shd w:val="clear" w:color="auto" w:fill="FFFFFF"/>
      <w:spacing w:before="600" w:after="200" w:line="240" w:lineRule="auto"/>
      <w:jc w:val="both"/>
      <w:textAlignment w:val="baseline"/>
      <w:outlineLvl w:val="2"/>
    </w:pPr>
    <w:rPr>
      <w:rFonts w:eastAsia="Times New Roman"/>
      <w:b/>
      <w:color w:val="4472C4" w:themeColor="accent1"/>
      <w:sz w:val="48"/>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C66239"/>
    <w:pPr>
      <w:keepNext/>
      <w:keepLines/>
      <w:numPr>
        <w:numId w:val="2"/>
      </w:numPr>
      <w:spacing w:before="280" w:after="240"/>
      <w:outlineLvl w:val="3"/>
    </w:pPr>
    <w:rPr>
      <w:rFonts w:eastAsiaTheme="majorEastAsia" w:cstheme="majorBidi"/>
      <w:b/>
      <w:iCs/>
      <w:color w:val="2F5496" w:themeColor="accent1" w:themeShade="BF"/>
      <w:sz w:val="44"/>
      <w:u w:val="single"/>
      <w:bdr w:val="none" w:sz="0" w:space="0" w:color="auto" w:frame="1"/>
    </w:rPr>
  </w:style>
  <w:style w:type="paragraph" w:styleId="Titre5">
    <w:name w:val="heading 5"/>
    <w:aliases w:val="Titre 5 CGPC"/>
    <w:basedOn w:val="CGPC-elearning"/>
    <w:next w:val="Normal"/>
    <w:link w:val="Titre5Car"/>
    <w:autoRedefine/>
    <w:uiPriority w:val="9"/>
    <w:unhideWhenUsed/>
    <w:qFormat/>
    <w:rsid w:val="00C66239"/>
    <w:pPr>
      <w:keepNext/>
      <w:keepLines/>
      <w:numPr>
        <w:numId w:val="36"/>
      </w:numPr>
      <w:tabs>
        <w:tab w:val="num" w:pos="720"/>
      </w:tabs>
      <w:spacing w:before="400" w:after="360"/>
      <w:outlineLvl w:val="4"/>
    </w:pPr>
    <w:rPr>
      <w:rFonts w:eastAsia="Times New Roman" w:cstheme="majorBidi"/>
      <w:b/>
      <w:i/>
      <w:color w:val="2F5496" w:themeColor="accent1" w:themeShade="BF"/>
      <w:sz w:val="40"/>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715252"/>
    <w:rPr>
      <w:rFonts w:ascii="Open Sans" w:eastAsiaTheme="majorEastAsia" w:hAnsi="Open Sans" w:cs="Open Sans"/>
      <w:b/>
      <w:bCs/>
      <w:color w:val="4472C4" w:themeColor="accent1"/>
      <w:sz w:val="52"/>
      <w:szCs w:val="26"/>
      <w:bdr w:val="none" w:sz="0" w:space="0" w:color="auto" w:frame="1"/>
      <w:shd w:val="clear" w:color="auto" w:fill="FFFFFF"/>
    </w:rPr>
  </w:style>
  <w:style w:type="character" w:customStyle="1" w:styleId="Titre1Car">
    <w:name w:val="Titre 1 Car"/>
    <w:basedOn w:val="Policepardfaut"/>
    <w:link w:val="Titre1"/>
    <w:uiPriority w:val="9"/>
    <w:rsid w:val="00365D35"/>
    <w:rPr>
      <w:rFonts w:ascii="Open Sans" w:eastAsiaTheme="majorEastAsia" w:hAnsi="Open Sans" w:cstheme="majorBidi"/>
      <w:b/>
      <w:color w:val="FFFFFF" w:themeColor="background1"/>
      <w:kern w:val="0"/>
      <w:sz w:val="56"/>
      <w:szCs w:val="32"/>
      <w14:ligatures w14:val="none"/>
    </w:rPr>
  </w:style>
  <w:style w:type="paragraph" w:customStyle="1" w:styleId="CGPC-elearning">
    <w:name w:val="CGPC-elearning"/>
    <w:basedOn w:val="Normal"/>
    <w:link w:val="CGPC-elearningCar"/>
    <w:autoRedefine/>
    <w:rsid w:val="00EC26CF"/>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EC26CF"/>
    <w:rPr>
      <w:rFonts w:ascii="Open Sans" w:hAnsi="Open Sans" w:cs="Open Sans"/>
      <w:bCs/>
      <w:sz w:val="32"/>
      <w:szCs w:val="36"/>
    </w:rPr>
  </w:style>
  <w:style w:type="character" w:customStyle="1" w:styleId="Titre3Car">
    <w:name w:val="Titre 3 Car"/>
    <w:aliases w:val="Titre 3 CGPC Car"/>
    <w:basedOn w:val="Policepardfaut"/>
    <w:link w:val="Titre3"/>
    <w:uiPriority w:val="9"/>
    <w:rsid w:val="00C66239"/>
    <w:rPr>
      <w:rFonts w:ascii="Open Sans" w:eastAsia="Times New Roman" w:hAnsi="Open Sans" w:cs="Open Sans"/>
      <w:b/>
      <w:bCs/>
      <w:color w:val="4472C4" w:themeColor="accent1"/>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C66239"/>
    <w:rPr>
      <w:rFonts w:ascii="Open Sans" w:eastAsiaTheme="majorEastAsia" w:hAnsi="Open Sans" w:cstheme="majorBidi"/>
      <w:b/>
      <w:bCs/>
      <w:iCs/>
      <w:color w:val="2F5496" w:themeColor="accent1" w:themeShade="BF"/>
      <w:sz w:val="44"/>
      <w:szCs w:val="36"/>
      <w:u w:val="single"/>
      <w:bdr w:val="none" w:sz="0" w:space="0" w:color="auto" w:frame="1"/>
    </w:rPr>
  </w:style>
  <w:style w:type="character" w:customStyle="1" w:styleId="Titre5Car">
    <w:name w:val="Titre 5 Car"/>
    <w:aliases w:val="Titre 5 CGPC Car"/>
    <w:basedOn w:val="Policepardfaut"/>
    <w:link w:val="Titre5"/>
    <w:uiPriority w:val="9"/>
    <w:rsid w:val="00C66239"/>
    <w:rPr>
      <w:rFonts w:ascii="Open Sans" w:eastAsia="Times New Roman" w:hAnsi="Open Sans" w:cstheme="majorBidi"/>
      <w:b/>
      <w:bCs/>
      <w:i/>
      <w:color w:val="2F5496" w:themeColor="accent1" w:themeShade="BF"/>
      <w:sz w:val="40"/>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 w:type="paragraph" w:styleId="TM4">
    <w:name w:val="toc 4"/>
    <w:basedOn w:val="Normal"/>
    <w:next w:val="Normal"/>
    <w:autoRedefine/>
    <w:uiPriority w:val="39"/>
    <w:unhideWhenUsed/>
    <w:rsid w:val="008F0E8E"/>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287305">
      <w:bodyDiv w:val="1"/>
      <w:marLeft w:val="0"/>
      <w:marRight w:val="0"/>
      <w:marTop w:val="0"/>
      <w:marBottom w:val="0"/>
      <w:divBdr>
        <w:top w:val="none" w:sz="0" w:space="0" w:color="auto"/>
        <w:left w:val="none" w:sz="0" w:space="0" w:color="auto"/>
        <w:bottom w:val="none" w:sz="0" w:space="0" w:color="auto"/>
        <w:right w:val="none" w:sz="0" w:space="0" w:color="auto"/>
      </w:divBdr>
      <w:divsChild>
        <w:div w:id="1829131985">
          <w:marLeft w:val="0"/>
          <w:marRight w:val="0"/>
          <w:marTop w:val="0"/>
          <w:marBottom w:val="578"/>
          <w:divBdr>
            <w:top w:val="none" w:sz="0" w:space="0" w:color="auto"/>
            <w:left w:val="none" w:sz="0" w:space="0" w:color="auto"/>
            <w:bottom w:val="none" w:sz="0" w:space="0" w:color="auto"/>
            <w:right w:val="none" w:sz="0" w:space="0" w:color="auto"/>
          </w:divBdr>
          <w:divsChild>
            <w:div w:id="956136403">
              <w:marLeft w:val="0"/>
              <w:marRight w:val="0"/>
              <w:marTop w:val="0"/>
              <w:marBottom w:val="0"/>
              <w:divBdr>
                <w:top w:val="none" w:sz="0" w:space="0" w:color="auto"/>
                <w:left w:val="none" w:sz="0" w:space="0" w:color="auto"/>
                <w:bottom w:val="none" w:sz="0" w:space="0" w:color="auto"/>
                <w:right w:val="none" w:sz="0" w:space="0" w:color="auto"/>
              </w:divBdr>
            </w:div>
          </w:divsChild>
        </w:div>
        <w:div w:id="599530286">
          <w:marLeft w:val="0"/>
          <w:marRight w:val="0"/>
          <w:marTop w:val="0"/>
          <w:marBottom w:val="578"/>
          <w:divBdr>
            <w:top w:val="none" w:sz="0" w:space="0" w:color="auto"/>
            <w:left w:val="none" w:sz="0" w:space="0" w:color="auto"/>
            <w:bottom w:val="none" w:sz="0" w:space="0" w:color="auto"/>
            <w:right w:val="none" w:sz="0" w:space="0" w:color="auto"/>
          </w:divBdr>
        </w:div>
        <w:div w:id="922255118">
          <w:marLeft w:val="0"/>
          <w:marRight w:val="0"/>
          <w:marTop w:val="0"/>
          <w:marBottom w:val="578"/>
          <w:divBdr>
            <w:top w:val="none" w:sz="0" w:space="0" w:color="auto"/>
            <w:left w:val="none" w:sz="0" w:space="0" w:color="auto"/>
            <w:bottom w:val="none" w:sz="0" w:space="0" w:color="auto"/>
            <w:right w:val="none" w:sz="0" w:space="0" w:color="auto"/>
          </w:divBdr>
          <w:divsChild>
            <w:div w:id="1234511376">
              <w:marLeft w:val="0"/>
              <w:marRight w:val="0"/>
              <w:marTop w:val="0"/>
              <w:marBottom w:val="0"/>
              <w:divBdr>
                <w:top w:val="none" w:sz="0" w:space="0" w:color="auto"/>
                <w:left w:val="none" w:sz="0" w:space="0" w:color="auto"/>
                <w:bottom w:val="none" w:sz="0" w:space="0" w:color="auto"/>
                <w:right w:val="none" w:sz="0" w:space="0" w:color="auto"/>
              </w:divBdr>
            </w:div>
          </w:divsChild>
        </w:div>
        <w:div w:id="1063681104">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service-public.fr/particuliers/vosdroits/F752" TargetMode="External"/><Relationship Id="rId26" Type="http://schemas.openxmlformats.org/officeDocument/2006/relationships/customXml" Target="../customXml/item4.xml"/><Relationship Id="rId3" Type="http://schemas.openxmlformats.org/officeDocument/2006/relationships/customXml" Target="../customXml/item3.xml"/><Relationship Id="rId21" Type="http://schemas.openxmlformats.org/officeDocument/2006/relationships/hyperlink" Target="https://www.legifrance.gouv.fr/affichTexte.do?cidTexte=LEGITEXT000006069108" TargetMode="Externa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yperlink" Target="https://www.service-public.fr/particuliers/glossaire/R1069"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legifrance.gouv.fr/affichTexte.do;jsessionid=66699C3F4B118303A09AC0FE30C63C43.tplgfr27s_3?cidTexte=JORFTEXT000000889243&amp;dateTexte=20180607"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legalplace.fr/contrats/bail-commercial/" TargetMode="External"/><Relationship Id="rId10" Type="http://schemas.openxmlformats.org/officeDocument/2006/relationships/hyperlink" Target="https://www.cgpc-formation.fr/courses/module-4-ecgp/lessons/les-regimes-des-plus-values-mobilieres-et-immobilieres/topic/les-regimes-des-plus-values-mobilieres/" TargetMode="External"/><Relationship Id="rId19"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yperlink" Target="https://www.legalplace.fr/contrats/contrat-location-vid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E30578-B1E8-4C11-AD5B-E598D7B19299}"/>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41D15200-4C87-4B57-9FFC-3511FD78149A}">
  <ds:schemaRefs>
    <ds:schemaRef ds:uri="http://schemas.microsoft.com/sharepoint/v3/contenttype/forms"/>
  </ds:schemaRefs>
</ds:datastoreItem>
</file>

<file path=customXml/itemProps4.xml><?xml version="1.0" encoding="utf-8"?>
<ds:datastoreItem xmlns:ds="http://schemas.openxmlformats.org/officeDocument/2006/customXml" ds:itemID="{7EBD98FF-58E7-4B54-9808-8988BCF386FE}"/>
</file>

<file path=docProps/app.xml><?xml version="1.0" encoding="utf-8"?>
<Properties xmlns="http://schemas.openxmlformats.org/officeDocument/2006/extended-properties" xmlns:vt="http://schemas.openxmlformats.org/officeDocument/2006/docPropsVTypes">
  <Template>Normal.dotm</Template>
  <TotalTime>0</TotalTime>
  <Pages>20</Pages>
  <Words>3938</Words>
  <Characters>22451</Characters>
  <Application>Microsoft Office Word</Application>
  <DocSecurity>0</DocSecurity>
  <Lines>187</Lines>
  <Paragraphs>52</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FPSB</Company>
  <LinksUpToDate>false</LinksUpToDate>
  <CharactersWithSpaces>26337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Les régimes des plus-values immobilières</dc:title>
  <dc:subject>Les régimes des plus-values immobilières</dc:subject>
  <dc:creator>Renaud Duval</dc:creator>
  <cp:keywords/>
  <dc:description/>
  <cp:lastModifiedBy>Renaud Duval</cp:lastModifiedBy>
  <cp:revision>17</cp:revision>
  <cp:lastPrinted>2024-02-07T14:37:00Z</cp:lastPrinted>
  <dcterms:created xsi:type="dcterms:W3CDTF">2025-04-22T07:36:00Z</dcterms:created>
  <dcterms:modified xsi:type="dcterms:W3CDTF">2025-09-15T10:03:00Z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ies>
</file>